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bookmarkStart w:id="0" w:name="_GoBack"/>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bookmarkEnd w:id="0"/>
    <w:p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審查許可及返臺</w:t>
      </w:r>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r w:rsidR="001B524F" w:rsidRPr="00D5254B">
        <w:rPr>
          <w:rFonts w:ascii="標楷體" w:eastAsia="標楷體" w:hAnsi="標楷體" w:hint="eastAsia"/>
          <w:color w:val="000000" w:themeColor="text1"/>
          <w:sz w:val="28"/>
          <w:szCs w:val="28"/>
        </w:rPr>
        <w:t>爰</w:t>
      </w:r>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A90DE4">
        <w:rPr>
          <w:rFonts w:ascii="標楷體" w:eastAsia="標楷體" w:hAnsi="標楷體" w:cs="Times New Roman" w:hint="eastAsia"/>
          <w:sz w:val="28"/>
          <w:szCs w:val="28"/>
        </w:rPr>
        <w:t>為符實務管理需要，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為強化返臺通報管理，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82" w:rsidRDefault="00BC5182" w:rsidP="00C72E48">
      <w:r>
        <w:separator/>
      </w:r>
    </w:p>
  </w:endnote>
  <w:endnote w:type="continuationSeparator" w:id="0">
    <w:p w:rsidR="00BC5182" w:rsidRDefault="00BC5182"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82" w:rsidRDefault="00BC5182" w:rsidP="00C72E48">
      <w:r>
        <w:separator/>
      </w:r>
    </w:p>
  </w:footnote>
  <w:footnote w:type="continuationSeparator" w:id="0">
    <w:p w:rsidR="00BC5182" w:rsidRDefault="00BC5182" w:rsidP="00C72E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73365"/>
    <w:rsid w:val="00887495"/>
    <w:rsid w:val="00890CB3"/>
    <w:rsid w:val="008B0E53"/>
    <w:rsid w:val="008C1783"/>
    <w:rsid w:val="008F16A9"/>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7421C"/>
    <w:rsid w:val="00A90DE4"/>
    <w:rsid w:val="00A9563A"/>
    <w:rsid w:val="00AA0299"/>
    <w:rsid w:val="00AA399C"/>
    <w:rsid w:val="00AB73B8"/>
    <w:rsid w:val="00AB7607"/>
    <w:rsid w:val="00AC7A80"/>
    <w:rsid w:val="00AD647B"/>
    <w:rsid w:val="00B2270C"/>
    <w:rsid w:val="00B348BD"/>
    <w:rsid w:val="00B4107A"/>
    <w:rsid w:val="00B87387"/>
    <w:rsid w:val="00BB0D9B"/>
    <w:rsid w:val="00BB2325"/>
    <w:rsid w:val="00BC2F31"/>
    <w:rsid w:val="00BC5182"/>
    <w:rsid w:val="00BD66F6"/>
    <w:rsid w:val="00BE0DD5"/>
    <w:rsid w:val="00C04D52"/>
    <w:rsid w:val="00C06601"/>
    <w:rsid w:val="00C177E8"/>
    <w:rsid w:val="00C17DCA"/>
    <w:rsid w:val="00C27957"/>
    <w:rsid w:val="00C65B3C"/>
    <w:rsid w:val="00C67E86"/>
    <w:rsid w:val="00C72BC7"/>
    <w:rsid w:val="00C72E48"/>
    <w:rsid w:val="00C73D1A"/>
    <w:rsid w:val="00C77646"/>
    <w:rsid w:val="00C80BB3"/>
    <w:rsid w:val="00C85C63"/>
    <w:rsid w:val="00CA235B"/>
    <w:rsid w:val="00CA3633"/>
    <w:rsid w:val="00CB2573"/>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user</cp:lastModifiedBy>
  <cp:revision>2</cp:revision>
  <cp:lastPrinted>2023-04-20T06:53:00Z</cp:lastPrinted>
  <dcterms:created xsi:type="dcterms:W3CDTF">2023-05-08T06:43:00Z</dcterms:created>
  <dcterms:modified xsi:type="dcterms:W3CDTF">2023-05-08T06:43:00Z</dcterms:modified>
</cp:coreProperties>
</file>