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bookmarkStart w:id="0" w:name="_GoBack"/>
      <w:r w:rsidR="000C59ED">
        <w:rPr>
          <w:rFonts w:ascii="標楷體" w:eastAsia="標楷體" w:hAnsi="標楷體" w:hint="eastAsia"/>
          <w:b/>
          <w:sz w:val="32"/>
        </w:rPr>
        <w:t>學習設計師</w:t>
      </w:r>
      <w:bookmarkEnd w:id="0"/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r w:rsidR="00436C85" w:rsidRPr="00436C85">
        <w:rPr>
          <w:rFonts w:ascii="標楷體" w:eastAsia="標楷體" w:hAnsi="標楷體" w:hint="eastAsia"/>
        </w:rPr>
        <w:t>（</w:t>
      </w:r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掃描電子檔</w:t>
      </w:r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是（計畫名稱：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展品選件</w:t>
            </w:r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5DC7" w14:textId="77777777" w:rsidR="00743C7B" w:rsidRDefault="00743C7B" w:rsidP="00FB23BD">
      <w:r>
        <w:separator/>
      </w:r>
    </w:p>
  </w:endnote>
  <w:endnote w:type="continuationSeparator" w:id="0">
    <w:p w14:paraId="0E6E097E" w14:textId="77777777" w:rsidR="00743C7B" w:rsidRDefault="00743C7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4891" w14:textId="77777777" w:rsidR="00743C7B" w:rsidRDefault="00743C7B" w:rsidP="00FB23BD">
      <w:r>
        <w:separator/>
      </w:r>
    </w:p>
  </w:footnote>
  <w:footnote w:type="continuationSeparator" w:id="0">
    <w:p w14:paraId="0DA171B2" w14:textId="77777777" w:rsidR="00743C7B" w:rsidRDefault="00743C7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3C7B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0EA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145-0D42-4005-852E-706CB19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2023-04-17T05:02:00Z</cp:lastPrinted>
  <dcterms:created xsi:type="dcterms:W3CDTF">2023-05-03T01:34:00Z</dcterms:created>
  <dcterms:modified xsi:type="dcterms:W3CDTF">2023-05-03T01:34:00Z</dcterms:modified>
</cp:coreProperties>
</file>