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54C" w:rsidRPr="007A14D0" w:rsidRDefault="0032154C" w:rsidP="006C680D">
      <w:pPr>
        <w:pStyle w:val="Default"/>
        <w:jc w:val="center"/>
        <w:rPr>
          <w:rFonts w:ascii="華康細圓體" w:eastAsia="華康細圓體" w:hAnsi="Times New Roman"/>
          <w:sz w:val="36"/>
          <w:szCs w:val="36"/>
        </w:rPr>
      </w:pPr>
      <w:r w:rsidRPr="007A14D0">
        <w:rPr>
          <w:rFonts w:ascii="華康細圓體" w:eastAsia="華康細圓體" w:hint="eastAsia"/>
          <w:sz w:val="36"/>
          <w:szCs w:val="36"/>
        </w:rPr>
        <w:t>桃園市立</w:t>
      </w:r>
      <w:r w:rsidR="006C680D" w:rsidRPr="007A14D0">
        <w:rPr>
          <w:rFonts w:ascii="華康細圓體" w:eastAsia="華康細圓體" w:hint="eastAsia"/>
          <w:sz w:val="36"/>
          <w:szCs w:val="36"/>
        </w:rPr>
        <w:t>永豐高中</w:t>
      </w:r>
      <w:r w:rsidR="003C5DC0">
        <w:rPr>
          <w:rFonts w:ascii="華康細圓體" w:eastAsia="華康細圓體" w:hAnsi="Times New Roman" w:cs="Times New Roman" w:hint="eastAsia"/>
          <w:b/>
          <w:bCs/>
          <w:sz w:val="36"/>
          <w:szCs w:val="36"/>
        </w:rPr>
        <w:t>110</w:t>
      </w:r>
      <w:r w:rsidRPr="007A14D0">
        <w:rPr>
          <w:rFonts w:ascii="華康細圓體" w:eastAsia="華康細圓體" w:hAnsi="Times New Roman" w:hint="eastAsia"/>
          <w:sz w:val="36"/>
          <w:szCs w:val="36"/>
        </w:rPr>
        <w:t>學年度</w:t>
      </w:r>
      <w:r w:rsidR="00392E69">
        <w:rPr>
          <w:rFonts w:ascii="華康細圓體" w:eastAsia="華康細圓體" w:hAnsi="Times New Roman" w:hint="eastAsia"/>
          <w:sz w:val="36"/>
          <w:szCs w:val="36"/>
        </w:rPr>
        <w:t>第一學期</w:t>
      </w:r>
      <w:r w:rsidRPr="007A14D0">
        <w:rPr>
          <w:rFonts w:ascii="華康細圓體" w:eastAsia="華康細圓體" w:hAnsi="Times New Roman" w:hint="eastAsia"/>
          <w:sz w:val="36"/>
          <w:szCs w:val="36"/>
        </w:rPr>
        <w:t>「親師座談會」</w:t>
      </w:r>
    </w:p>
    <w:p w:rsidR="007A14D0" w:rsidRPr="007A14D0" w:rsidRDefault="0032154C" w:rsidP="006C680D">
      <w:pPr>
        <w:jc w:val="center"/>
        <w:rPr>
          <w:rFonts w:ascii="華康細圓體" w:eastAsia="華康細圓體" w:hAnsi="Times New Roman" w:cs="Times New Roman"/>
          <w:b/>
          <w:bCs/>
          <w:sz w:val="36"/>
          <w:szCs w:val="36"/>
        </w:rPr>
      </w:pPr>
      <w:r w:rsidRPr="007A14D0">
        <w:rPr>
          <w:rFonts w:ascii="華康細圓體" w:eastAsia="華康細圓體" w:hAnsi="Times New Roman" w:hint="eastAsia"/>
          <w:sz w:val="36"/>
          <w:szCs w:val="36"/>
        </w:rPr>
        <w:t>家長建議事項及各處室答覆</w:t>
      </w:r>
    </w:p>
    <w:p w:rsidR="006C680D" w:rsidRDefault="007A14D0" w:rsidP="007A14D0">
      <w:pPr>
        <w:rPr>
          <w:rFonts w:ascii="華康細圓體" w:eastAsia="華康細圓體" w:hAnsi="Times New Roman"/>
          <w:sz w:val="32"/>
          <w:szCs w:val="32"/>
        </w:rPr>
      </w:pPr>
      <w:r>
        <w:rPr>
          <w:rFonts w:ascii="華康細圓體" w:eastAsia="華康細圓體" w:hAnsi="Times New Roman" w:hint="eastAsia"/>
          <w:sz w:val="32"/>
          <w:szCs w:val="32"/>
        </w:rPr>
        <w:t>●</w:t>
      </w:r>
      <w:r w:rsidR="006C680D">
        <w:rPr>
          <w:rFonts w:ascii="華康細圓體" w:eastAsia="華康細圓體" w:hAnsi="Times New Roman" w:hint="eastAsia"/>
          <w:sz w:val="32"/>
          <w:szCs w:val="32"/>
        </w:rPr>
        <w:t>教務處</w:t>
      </w:r>
      <w:r w:rsidR="005E028A">
        <w:rPr>
          <w:rFonts w:ascii="華康細圓體" w:eastAsia="華康細圓體" w:hAnsi="Times New Roman" w:hint="eastAsia"/>
          <w:sz w:val="32"/>
          <w:szCs w:val="32"/>
        </w:rPr>
        <w:t>(含國中部)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628"/>
        <w:gridCol w:w="3379"/>
        <w:gridCol w:w="10996"/>
      </w:tblGrid>
      <w:tr w:rsidR="00BC2303" w:rsidRPr="00A054E7" w:rsidTr="00CF48B6">
        <w:trPr>
          <w:trHeight w:val="695"/>
          <w:tblHeader/>
        </w:trPr>
        <w:tc>
          <w:tcPr>
            <w:tcW w:w="585" w:type="dxa"/>
            <w:vAlign w:val="center"/>
          </w:tcPr>
          <w:p w:rsidR="00BC2303" w:rsidRPr="00A054E7" w:rsidRDefault="00BC2303" w:rsidP="001A0F01">
            <w:pPr>
              <w:jc w:val="center"/>
            </w:pPr>
            <w:r w:rsidRPr="00A054E7">
              <w:t>編號</w:t>
            </w:r>
          </w:p>
        </w:tc>
        <w:tc>
          <w:tcPr>
            <w:tcW w:w="628" w:type="dxa"/>
            <w:vAlign w:val="center"/>
          </w:tcPr>
          <w:p w:rsidR="00BC2303" w:rsidRPr="00A054E7" w:rsidRDefault="00BC2303" w:rsidP="001A0F01">
            <w:pPr>
              <w:jc w:val="center"/>
            </w:pPr>
            <w:r w:rsidRPr="00A054E7">
              <w:t>班級</w:t>
            </w:r>
          </w:p>
        </w:tc>
        <w:tc>
          <w:tcPr>
            <w:tcW w:w="3379" w:type="dxa"/>
            <w:vAlign w:val="center"/>
          </w:tcPr>
          <w:p w:rsidR="00BC2303" w:rsidRPr="00A054E7" w:rsidRDefault="00BC2303" w:rsidP="001A0F01">
            <w:pPr>
              <w:jc w:val="center"/>
              <w:rPr>
                <w:color w:val="000000"/>
                <w:kern w:val="0"/>
              </w:rPr>
            </w:pPr>
            <w:r w:rsidRPr="00A054E7">
              <w:rPr>
                <w:color w:val="000000"/>
                <w:kern w:val="0"/>
              </w:rPr>
              <w:t>意</w:t>
            </w:r>
            <w:r w:rsidRPr="00A054E7">
              <w:rPr>
                <w:color w:val="000000"/>
                <w:kern w:val="0"/>
              </w:rPr>
              <w:t xml:space="preserve">  </w:t>
            </w:r>
            <w:r w:rsidRPr="00A054E7">
              <w:rPr>
                <w:color w:val="000000"/>
                <w:kern w:val="0"/>
              </w:rPr>
              <w:t>見</w:t>
            </w:r>
            <w:r w:rsidRPr="00A054E7">
              <w:rPr>
                <w:color w:val="000000"/>
                <w:kern w:val="0"/>
              </w:rPr>
              <w:t xml:space="preserve">  </w:t>
            </w:r>
            <w:r w:rsidRPr="00A054E7">
              <w:rPr>
                <w:color w:val="000000"/>
                <w:kern w:val="0"/>
              </w:rPr>
              <w:t>陳</w:t>
            </w:r>
            <w:r w:rsidRPr="00A054E7">
              <w:rPr>
                <w:color w:val="000000"/>
                <w:kern w:val="0"/>
              </w:rPr>
              <w:t xml:space="preserve">  </w:t>
            </w:r>
            <w:r w:rsidRPr="00A054E7">
              <w:rPr>
                <w:color w:val="000000"/>
                <w:kern w:val="0"/>
              </w:rPr>
              <w:t>述</w:t>
            </w:r>
          </w:p>
        </w:tc>
        <w:tc>
          <w:tcPr>
            <w:tcW w:w="10996" w:type="dxa"/>
            <w:vAlign w:val="center"/>
          </w:tcPr>
          <w:p w:rsidR="00BC2303" w:rsidRPr="00A054E7" w:rsidRDefault="00BC2303" w:rsidP="001A0F01">
            <w:pPr>
              <w:jc w:val="center"/>
            </w:pPr>
            <w:r w:rsidRPr="00A054E7">
              <w:rPr>
                <w:kern w:val="0"/>
              </w:rPr>
              <w:t>各</w:t>
            </w:r>
            <w:r w:rsidRPr="00A054E7">
              <w:rPr>
                <w:kern w:val="0"/>
              </w:rPr>
              <w:t xml:space="preserve"> </w:t>
            </w:r>
            <w:r w:rsidRPr="00A054E7">
              <w:rPr>
                <w:kern w:val="0"/>
              </w:rPr>
              <w:t>處</w:t>
            </w:r>
            <w:r w:rsidRPr="00A054E7">
              <w:rPr>
                <w:kern w:val="0"/>
              </w:rPr>
              <w:t xml:space="preserve"> </w:t>
            </w:r>
            <w:r w:rsidRPr="00A054E7">
              <w:rPr>
                <w:kern w:val="0"/>
              </w:rPr>
              <w:t>室</w:t>
            </w:r>
            <w:r w:rsidRPr="00A054E7">
              <w:rPr>
                <w:kern w:val="0"/>
              </w:rPr>
              <w:t xml:space="preserve"> </w:t>
            </w:r>
            <w:r w:rsidRPr="00A054E7">
              <w:rPr>
                <w:kern w:val="0"/>
              </w:rPr>
              <w:t>意</w:t>
            </w:r>
            <w:r w:rsidRPr="00A054E7">
              <w:rPr>
                <w:kern w:val="0"/>
              </w:rPr>
              <w:t xml:space="preserve"> </w:t>
            </w:r>
            <w:r w:rsidRPr="00A054E7">
              <w:rPr>
                <w:kern w:val="0"/>
              </w:rPr>
              <w:t>見</w:t>
            </w:r>
            <w:r w:rsidRPr="00A054E7">
              <w:rPr>
                <w:kern w:val="0"/>
              </w:rPr>
              <w:t xml:space="preserve"> </w:t>
            </w:r>
            <w:r w:rsidRPr="00A054E7">
              <w:rPr>
                <w:kern w:val="0"/>
              </w:rPr>
              <w:t>回</w:t>
            </w:r>
            <w:r w:rsidRPr="00A054E7">
              <w:rPr>
                <w:kern w:val="0"/>
              </w:rPr>
              <w:t xml:space="preserve"> </w:t>
            </w:r>
            <w:r w:rsidRPr="00A054E7">
              <w:rPr>
                <w:kern w:val="0"/>
              </w:rPr>
              <w:t>覆</w:t>
            </w:r>
          </w:p>
        </w:tc>
      </w:tr>
      <w:tr w:rsidR="00FE0B0E" w:rsidRPr="00A054E7" w:rsidTr="00795671">
        <w:trPr>
          <w:trHeight w:val="578"/>
        </w:trPr>
        <w:tc>
          <w:tcPr>
            <w:tcW w:w="585" w:type="dxa"/>
            <w:vAlign w:val="center"/>
          </w:tcPr>
          <w:p w:rsidR="00FE0B0E" w:rsidRPr="00A054E7" w:rsidRDefault="00FE0B0E" w:rsidP="00FE0B0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FE0B0E" w:rsidRPr="00A054E7" w:rsidRDefault="00FE0B0E" w:rsidP="00FE0B0E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105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1D7163" w:rsidRPr="001D7163" w:rsidRDefault="00FE0B0E" w:rsidP="001D7163">
            <w:pPr>
              <w:pStyle w:val="a3"/>
              <w:widowControl/>
              <w:numPr>
                <w:ilvl w:val="0"/>
                <w:numId w:val="21"/>
              </w:numPr>
              <w:ind w:leftChars="0"/>
              <w:rPr>
                <w:color w:val="000000"/>
                <w:kern w:val="0"/>
              </w:rPr>
            </w:pPr>
            <w:r w:rsidRPr="001D7163">
              <w:rPr>
                <w:rFonts w:hint="eastAsia"/>
                <w:color w:val="000000"/>
                <w:kern w:val="0"/>
              </w:rPr>
              <w:t>各科考試時間，例如</w:t>
            </w:r>
            <w:r w:rsidRPr="001D7163">
              <w:rPr>
                <w:rFonts w:hint="eastAsia"/>
                <w:color w:val="000000"/>
                <w:kern w:val="0"/>
              </w:rPr>
              <w:t>:</w:t>
            </w:r>
            <w:r w:rsidRPr="001D7163">
              <w:rPr>
                <w:rFonts w:hint="eastAsia"/>
                <w:color w:val="000000"/>
                <w:kern w:val="0"/>
              </w:rPr>
              <w:t>第一次段考的健康、音樂、童軍要考嗎</w:t>
            </w:r>
            <w:r w:rsidRPr="001D7163">
              <w:rPr>
                <w:rFonts w:hint="eastAsia"/>
                <w:color w:val="000000"/>
                <w:kern w:val="0"/>
              </w:rPr>
              <w:t>?</w:t>
            </w:r>
            <w:r w:rsidRPr="001D7163">
              <w:rPr>
                <w:rFonts w:hint="eastAsia"/>
                <w:color w:val="000000"/>
                <w:kern w:val="0"/>
              </w:rPr>
              <w:t>哪科筆試哪科不須筆試，每科要考幾次</w:t>
            </w:r>
            <w:r w:rsidRPr="001D7163">
              <w:rPr>
                <w:rFonts w:hint="eastAsia"/>
                <w:color w:val="000000"/>
                <w:kern w:val="0"/>
              </w:rPr>
              <w:t>?</w:t>
            </w:r>
          </w:p>
          <w:p w:rsidR="00FE0B0E" w:rsidRPr="001D7163" w:rsidRDefault="00FE0B0E" w:rsidP="001D7163">
            <w:pPr>
              <w:pStyle w:val="a3"/>
              <w:widowControl/>
              <w:numPr>
                <w:ilvl w:val="0"/>
                <w:numId w:val="21"/>
              </w:numPr>
              <w:ind w:leftChars="0"/>
              <w:rPr>
                <w:color w:val="000000"/>
                <w:kern w:val="0"/>
              </w:rPr>
            </w:pPr>
            <w:r w:rsidRPr="001D7163">
              <w:rPr>
                <w:rFonts w:hint="eastAsia"/>
                <w:color w:val="000000"/>
                <w:kern w:val="0"/>
              </w:rPr>
              <w:t>學生證何時會發</w:t>
            </w:r>
            <w:r w:rsidRPr="001D7163">
              <w:rPr>
                <w:rFonts w:hint="eastAsia"/>
                <w:color w:val="000000"/>
                <w:kern w:val="0"/>
              </w:rPr>
              <w:t>?</w:t>
            </w:r>
          </w:p>
        </w:tc>
        <w:tc>
          <w:tcPr>
            <w:tcW w:w="10996" w:type="dxa"/>
          </w:tcPr>
          <w:p w:rsidR="00FE0B0E" w:rsidRDefault="00FE0B0E" w:rsidP="00FE0B0E">
            <w:r>
              <w:rPr>
                <w:rFonts w:hint="eastAsia"/>
              </w:rPr>
              <w:t>本校有定期評量的科目，大致分成以下三大類：</w:t>
            </w:r>
          </w:p>
          <w:p w:rsidR="00FE0B0E" w:rsidRDefault="00FE0B0E" w:rsidP="00FE0B0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有三次定期考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全校統一進行的紙筆測驗，即一般所謂的</w:t>
            </w:r>
            <w:r>
              <w:t>”</w:t>
            </w:r>
            <w:r>
              <w:rPr>
                <w:rFonts w:hint="eastAsia"/>
              </w:rPr>
              <w:t>段考</w:t>
            </w:r>
            <w:r>
              <w:t>”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：國文、英文、數學、自然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理化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生物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、社會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史、地、公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等領域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科目。</w:t>
            </w:r>
          </w:p>
          <w:p w:rsidR="00FE0B0E" w:rsidRDefault="00FE0B0E" w:rsidP="00FE0B0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有二次定期考：</w:t>
            </w:r>
          </w:p>
          <w:p w:rsidR="00FE0B0E" w:rsidRDefault="00FE0B0E" w:rsidP="00FE0B0E">
            <w:r>
              <w:rPr>
                <w:rFonts w:hint="eastAsia"/>
              </w:rPr>
              <w:t xml:space="preserve">  1.</w:t>
            </w:r>
            <w:r>
              <w:rPr>
                <w:rFonts w:hint="eastAsia"/>
              </w:rPr>
              <w:t>第一、二次定期考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採紙筆測驗並安排於段考考程中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：健康。</w:t>
            </w:r>
          </w:p>
          <w:p w:rsidR="00FE0B0E" w:rsidRDefault="00FE0B0E" w:rsidP="00FE0B0E">
            <w:r>
              <w:rPr>
                <w:rFonts w:hint="eastAsia"/>
              </w:rPr>
              <w:t xml:space="preserve">  2.</w:t>
            </w:r>
            <w:r>
              <w:rPr>
                <w:rFonts w:hint="eastAsia"/>
              </w:rPr>
              <w:t>第二、三次定期考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採多元方式評測，亦可能包含筆試，未統一安排於段考考程中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FE0B0E" w:rsidRPr="006E42A4" w:rsidRDefault="00FE0B0E" w:rsidP="00FE0B0E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科技領域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資訊、生科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、藝術人文領域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美術、音樂、表演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、綜合領域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童軍、家政、輔導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、體育。</w:t>
            </w:r>
            <w:r>
              <w:rPr>
                <w:rFonts w:hint="eastAsia"/>
              </w:rPr>
              <w:t xml:space="preserve"> </w:t>
            </w:r>
          </w:p>
        </w:tc>
      </w:tr>
      <w:tr w:rsidR="00FE0B0E" w:rsidRPr="00A054E7" w:rsidTr="00795671">
        <w:trPr>
          <w:trHeight w:val="533"/>
        </w:trPr>
        <w:tc>
          <w:tcPr>
            <w:tcW w:w="585" w:type="dxa"/>
            <w:vAlign w:val="center"/>
          </w:tcPr>
          <w:p w:rsidR="00FE0B0E" w:rsidRPr="00A054E7" w:rsidRDefault="00FE0B0E" w:rsidP="00FE0B0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FE0B0E" w:rsidRPr="00A054E7" w:rsidRDefault="00FE0B0E" w:rsidP="00FE0B0E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109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B0E" w:rsidRPr="00A054E7" w:rsidRDefault="00FE0B0E" w:rsidP="00FE0B0E">
            <w:pPr>
              <w:widowControl/>
              <w:rPr>
                <w:color w:val="000000"/>
                <w:kern w:val="0"/>
              </w:rPr>
            </w:pPr>
            <w:r w:rsidRPr="004820FB">
              <w:rPr>
                <w:rFonts w:hint="eastAsia"/>
                <w:color w:val="000000"/>
                <w:kern w:val="0"/>
              </w:rPr>
              <w:t>學生證何時發，無法借書及搭車無</w:t>
            </w:r>
            <w:r>
              <w:rPr>
                <w:rFonts w:hint="eastAsia"/>
                <w:color w:val="000000"/>
                <w:kern w:val="0"/>
              </w:rPr>
              <w:t>法</w:t>
            </w:r>
            <w:r w:rsidRPr="004820FB">
              <w:rPr>
                <w:rFonts w:hint="eastAsia"/>
                <w:color w:val="000000"/>
                <w:kern w:val="0"/>
              </w:rPr>
              <w:t>享學生優惠</w:t>
            </w:r>
          </w:p>
        </w:tc>
        <w:tc>
          <w:tcPr>
            <w:tcW w:w="10996" w:type="dxa"/>
          </w:tcPr>
          <w:p w:rsidR="00FE0B0E" w:rsidRPr="00A054E7" w:rsidRDefault="00FE0B0E" w:rsidP="00FE0B0E">
            <w:r>
              <w:rPr>
                <w:rFonts w:hint="eastAsia"/>
              </w:rPr>
              <w:t>國中部學生證於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月底發放。</w:t>
            </w:r>
          </w:p>
        </w:tc>
      </w:tr>
      <w:tr w:rsidR="002701B8" w:rsidRPr="00A054E7" w:rsidTr="00795671">
        <w:trPr>
          <w:trHeight w:val="533"/>
        </w:trPr>
        <w:tc>
          <w:tcPr>
            <w:tcW w:w="585" w:type="dxa"/>
            <w:vAlign w:val="center"/>
          </w:tcPr>
          <w:p w:rsidR="002701B8" w:rsidRPr="00A054E7" w:rsidRDefault="002701B8" w:rsidP="002701B8">
            <w:pPr>
              <w:jc w:val="center"/>
            </w:pPr>
            <w:r w:rsidRPr="00A054E7">
              <w:t>3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2701B8" w:rsidRPr="00A054E7" w:rsidRDefault="002701B8" w:rsidP="002701B8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404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1B8" w:rsidRDefault="002701B8" w:rsidP="002701B8">
            <w:pPr>
              <w:widowControl/>
              <w:jc w:val="center"/>
              <w:rPr>
                <w:color w:val="000000"/>
              </w:rPr>
            </w:pPr>
            <w:r w:rsidRPr="000311C7">
              <w:rPr>
                <w:rFonts w:hint="eastAsia"/>
                <w:color w:val="000000"/>
              </w:rPr>
              <w:t>積極媒合</w:t>
            </w:r>
            <w:r>
              <w:rPr>
                <w:rFonts w:hint="eastAsia"/>
                <w:color w:val="000000"/>
              </w:rPr>
              <w:t>鄰</w:t>
            </w:r>
            <w:r w:rsidRPr="000311C7">
              <w:rPr>
                <w:rFonts w:hint="eastAsia"/>
                <w:color w:val="000000"/>
              </w:rPr>
              <w:t>近大學師資在學校開相關課程或營隊</w:t>
            </w:r>
          </w:p>
        </w:tc>
        <w:tc>
          <w:tcPr>
            <w:tcW w:w="10996" w:type="dxa"/>
          </w:tcPr>
          <w:p w:rsidR="002701B8" w:rsidRPr="00286012" w:rsidRDefault="002701B8" w:rsidP="002701B8">
            <w:r>
              <w:rPr>
                <w:rFonts w:hint="eastAsia"/>
              </w:rPr>
              <w:t>本校與中央大學、元智大學、中原大學等許多大學都有長期的交流及合作，在多元選修課程部分也聘任多位大學師資來校授課，此外，第二外語營隊及科技營隊等也都聘請大學端老師授課。</w:t>
            </w:r>
          </w:p>
        </w:tc>
      </w:tr>
      <w:tr w:rsidR="002701B8" w:rsidRPr="00A054E7" w:rsidTr="00795671">
        <w:trPr>
          <w:trHeight w:val="533"/>
        </w:trPr>
        <w:tc>
          <w:tcPr>
            <w:tcW w:w="585" w:type="dxa"/>
            <w:vAlign w:val="center"/>
          </w:tcPr>
          <w:p w:rsidR="002701B8" w:rsidRPr="00A054E7" w:rsidRDefault="002701B8" w:rsidP="002701B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2701B8" w:rsidRDefault="002701B8" w:rsidP="002701B8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408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01B8" w:rsidRPr="000F5C98" w:rsidRDefault="002701B8" w:rsidP="002701B8">
            <w:pPr>
              <w:widowControl/>
              <w:rPr>
                <w:color w:val="000000"/>
                <w:kern w:val="0"/>
              </w:rPr>
            </w:pPr>
            <w:r w:rsidRPr="000311C7">
              <w:rPr>
                <w:rFonts w:hint="eastAsia"/>
                <w:color w:val="000000"/>
                <w:kern w:val="0"/>
              </w:rPr>
              <w:t>學校有提供英語測驗</w:t>
            </w:r>
            <w:r w:rsidRPr="000311C7">
              <w:rPr>
                <w:rFonts w:hint="eastAsia"/>
                <w:color w:val="000000"/>
                <w:kern w:val="0"/>
              </w:rPr>
              <w:t>(</w:t>
            </w:r>
            <w:r w:rsidRPr="000311C7">
              <w:rPr>
                <w:rFonts w:hint="eastAsia"/>
                <w:color w:val="000000"/>
                <w:kern w:val="0"/>
              </w:rPr>
              <w:t>如托福</w:t>
            </w:r>
            <w:r w:rsidRPr="000311C7">
              <w:rPr>
                <w:rFonts w:hint="eastAsia"/>
                <w:color w:val="000000"/>
                <w:kern w:val="0"/>
              </w:rPr>
              <w:t>)</w:t>
            </w:r>
            <w:r w:rsidRPr="000311C7">
              <w:rPr>
                <w:rFonts w:hint="eastAsia"/>
                <w:color w:val="000000"/>
                <w:kern w:val="0"/>
              </w:rPr>
              <w:t>集體報名的服務嗎</w:t>
            </w:r>
          </w:p>
        </w:tc>
        <w:tc>
          <w:tcPr>
            <w:tcW w:w="10996" w:type="dxa"/>
          </w:tcPr>
          <w:p w:rsidR="002701B8" w:rsidRPr="00286012" w:rsidRDefault="002701B8" w:rsidP="002701B8">
            <w:r>
              <w:rPr>
                <w:rFonts w:hint="eastAsia"/>
              </w:rPr>
              <w:t>現英語測驗多線上報名，有許多個人資料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涉及個人資訊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需要填寫及繳費資訊，故以個人報名為佳。</w:t>
            </w:r>
          </w:p>
        </w:tc>
      </w:tr>
      <w:tr w:rsidR="002701B8" w:rsidRPr="00A054E7" w:rsidTr="00795671">
        <w:trPr>
          <w:trHeight w:val="533"/>
        </w:trPr>
        <w:tc>
          <w:tcPr>
            <w:tcW w:w="585" w:type="dxa"/>
            <w:vAlign w:val="center"/>
          </w:tcPr>
          <w:p w:rsidR="002701B8" w:rsidRPr="00A054E7" w:rsidRDefault="002701B8" w:rsidP="002701B8">
            <w:pPr>
              <w:jc w:val="center"/>
            </w:pPr>
            <w:r>
              <w:t>5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2701B8" w:rsidRDefault="002701B8" w:rsidP="002701B8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502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2701B8" w:rsidRPr="009B0A42" w:rsidRDefault="002701B8" w:rsidP="002701B8">
            <w:pPr>
              <w:widowControl/>
              <w:rPr>
                <w:color w:val="000000"/>
              </w:rPr>
            </w:pPr>
            <w:r w:rsidRPr="005012AE">
              <w:rPr>
                <w:rFonts w:hint="eastAsia"/>
                <w:color w:val="000000"/>
              </w:rPr>
              <w:t>自主學習之效果不佳，盼校方取消</w:t>
            </w:r>
          </w:p>
        </w:tc>
        <w:tc>
          <w:tcPr>
            <w:tcW w:w="10996" w:type="dxa"/>
          </w:tcPr>
          <w:p w:rsidR="002701B8" w:rsidRPr="00687FF2" w:rsidRDefault="002701B8" w:rsidP="002701B8">
            <w:pPr>
              <w:ind w:left="173" w:hangingChars="72" w:hanging="173"/>
            </w:pPr>
            <w:r>
              <w:rPr>
                <w:rFonts w:hint="eastAsia"/>
              </w:rPr>
              <w:t>國教署規定彈性學習時間高一、二每周至多一節充實補強課程，且學生必須完成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周自主學習，故自主學習無法取消。</w:t>
            </w:r>
          </w:p>
        </w:tc>
      </w:tr>
      <w:tr w:rsidR="002701B8" w:rsidRPr="00A054E7" w:rsidTr="00795671">
        <w:trPr>
          <w:trHeight w:val="533"/>
        </w:trPr>
        <w:tc>
          <w:tcPr>
            <w:tcW w:w="585" w:type="dxa"/>
            <w:vAlign w:val="center"/>
          </w:tcPr>
          <w:p w:rsidR="002701B8" w:rsidRDefault="002701B8" w:rsidP="002701B8">
            <w:r>
              <w:rPr>
                <w:rFonts w:hint="eastAsia"/>
              </w:rPr>
              <w:t>6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2701B8" w:rsidRDefault="002701B8" w:rsidP="002701B8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511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2701B8" w:rsidRDefault="002701B8" w:rsidP="002701B8">
            <w:pPr>
              <w:widowControl/>
              <w:rPr>
                <w:color w:val="000000"/>
              </w:rPr>
            </w:pPr>
            <w:r w:rsidRPr="003C5DC0">
              <w:rPr>
                <w:rFonts w:hint="eastAsia"/>
                <w:color w:val="000000"/>
              </w:rPr>
              <w:t>學生對於數學課沒法充分學習與理解，可否在下學期更換數學老師，畢竟三類數</w:t>
            </w:r>
            <w:r w:rsidRPr="003C5DC0">
              <w:rPr>
                <w:rFonts w:hint="eastAsia"/>
                <w:color w:val="000000"/>
              </w:rPr>
              <w:t>A</w:t>
            </w:r>
            <w:r w:rsidRPr="003C5DC0">
              <w:rPr>
                <w:rFonts w:hint="eastAsia"/>
                <w:color w:val="000000"/>
              </w:rPr>
              <w:t>學科非常重要，擔心學測成績會有落差。</w:t>
            </w:r>
          </w:p>
        </w:tc>
        <w:tc>
          <w:tcPr>
            <w:tcW w:w="10996" w:type="dxa"/>
          </w:tcPr>
          <w:p w:rsidR="002701B8" w:rsidRDefault="002701B8" w:rsidP="002701B8">
            <w:pPr>
              <w:ind w:left="173" w:hangingChars="72" w:hanging="173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對於各班授課情形，教務處會透過例行入班觀課給予老師們授課回饋，老師們也會在反饋晤談中分享教學心得及調整教學方式，使學生有較佳的學習效果。</w:t>
            </w:r>
          </w:p>
          <w:p w:rsidR="002701B8" w:rsidRDefault="002701B8" w:rsidP="002701B8">
            <w:pPr>
              <w:ind w:left="173" w:hangingChars="72" w:hanging="173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對於學生的補強性需求，學校也有規劃數學充實與補強課程提供學生選修，提升數學能力。</w:t>
            </w:r>
          </w:p>
          <w:p w:rsidR="002701B8" w:rsidRPr="00687FF2" w:rsidRDefault="002701B8" w:rsidP="002701B8">
            <w:pPr>
              <w:ind w:left="173" w:hangingChars="72" w:hanging="173"/>
            </w:pPr>
          </w:p>
        </w:tc>
      </w:tr>
    </w:tbl>
    <w:p w:rsidR="00D540E8" w:rsidRDefault="00D540E8" w:rsidP="007A14D0">
      <w:pPr>
        <w:rPr>
          <w:rFonts w:ascii="華康細圓體" w:eastAsia="華康細圓體"/>
          <w:sz w:val="32"/>
          <w:szCs w:val="32"/>
        </w:rPr>
      </w:pPr>
    </w:p>
    <w:p w:rsidR="00F86BB1" w:rsidRDefault="00F86BB1" w:rsidP="007A14D0">
      <w:pPr>
        <w:rPr>
          <w:rFonts w:ascii="華康細圓體" w:eastAsia="華康細圓體"/>
          <w:sz w:val="32"/>
          <w:szCs w:val="32"/>
        </w:rPr>
      </w:pPr>
    </w:p>
    <w:p w:rsidR="005E028A" w:rsidRDefault="007A14D0" w:rsidP="007A14D0">
      <w:pPr>
        <w:rPr>
          <w:rFonts w:ascii="華康細圓體" w:eastAsia="華康細圓體"/>
          <w:sz w:val="32"/>
          <w:szCs w:val="32"/>
        </w:rPr>
      </w:pPr>
      <w:r>
        <w:rPr>
          <w:rFonts w:ascii="華康細圓體" w:eastAsia="華康細圓體" w:hint="eastAsia"/>
          <w:sz w:val="32"/>
          <w:szCs w:val="32"/>
        </w:rPr>
        <w:t>●</w:t>
      </w:r>
      <w:r w:rsidR="005E028A">
        <w:rPr>
          <w:rFonts w:ascii="華康細圓體" w:eastAsia="華康細圓體" w:hint="eastAsia"/>
          <w:sz w:val="32"/>
          <w:szCs w:val="32"/>
        </w:rPr>
        <w:t>學務處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628"/>
        <w:gridCol w:w="3379"/>
        <w:gridCol w:w="10996"/>
      </w:tblGrid>
      <w:tr w:rsidR="007A14D0" w:rsidRPr="00A054E7" w:rsidTr="00BC3FFF">
        <w:trPr>
          <w:trHeight w:val="695"/>
          <w:tblHeader/>
        </w:trPr>
        <w:tc>
          <w:tcPr>
            <w:tcW w:w="585" w:type="dxa"/>
            <w:vAlign w:val="center"/>
          </w:tcPr>
          <w:p w:rsidR="007A14D0" w:rsidRPr="00A054E7" w:rsidRDefault="007A14D0" w:rsidP="001A0F01">
            <w:pPr>
              <w:jc w:val="center"/>
            </w:pPr>
            <w:r w:rsidRPr="00A054E7">
              <w:t>編號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7A14D0" w:rsidRPr="00A054E7" w:rsidRDefault="007A14D0" w:rsidP="001A0F01">
            <w:pPr>
              <w:jc w:val="center"/>
            </w:pPr>
            <w:r w:rsidRPr="00A054E7">
              <w:t>班級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vAlign w:val="center"/>
          </w:tcPr>
          <w:p w:rsidR="007A14D0" w:rsidRPr="00A054E7" w:rsidRDefault="007A14D0" w:rsidP="001A0F01">
            <w:pPr>
              <w:jc w:val="center"/>
              <w:rPr>
                <w:color w:val="000000"/>
                <w:kern w:val="0"/>
              </w:rPr>
            </w:pPr>
            <w:r w:rsidRPr="00A054E7">
              <w:rPr>
                <w:color w:val="000000"/>
                <w:kern w:val="0"/>
              </w:rPr>
              <w:t>意</w:t>
            </w:r>
            <w:r w:rsidRPr="00A054E7">
              <w:rPr>
                <w:color w:val="000000"/>
                <w:kern w:val="0"/>
              </w:rPr>
              <w:t xml:space="preserve">  </w:t>
            </w:r>
            <w:r w:rsidRPr="00A054E7">
              <w:rPr>
                <w:color w:val="000000"/>
                <w:kern w:val="0"/>
              </w:rPr>
              <w:t>見</w:t>
            </w:r>
            <w:r w:rsidRPr="00A054E7">
              <w:rPr>
                <w:color w:val="000000"/>
                <w:kern w:val="0"/>
              </w:rPr>
              <w:t xml:space="preserve">  </w:t>
            </w:r>
            <w:r w:rsidRPr="00A054E7">
              <w:rPr>
                <w:color w:val="000000"/>
                <w:kern w:val="0"/>
              </w:rPr>
              <w:t>陳</w:t>
            </w:r>
            <w:r w:rsidRPr="00A054E7">
              <w:rPr>
                <w:color w:val="000000"/>
                <w:kern w:val="0"/>
              </w:rPr>
              <w:t xml:space="preserve">  </w:t>
            </w:r>
            <w:r w:rsidRPr="00A054E7">
              <w:rPr>
                <w:color w:val="000000"/>
                <w:kern w:val="0"/>
              </w:rPr>
              <w:t>述</w:t>
            </w:r>
          </w:p>
        </w:tc>
        <w:tc>
          <w:tcPr>
            <w:tcW w:w="10996" w:type="dxa"/>
            <w:vAlign w:val="center"/>
          </w:tcPr>
          <w:p w:rsidR="007A14D0" w:rsidRPr="00A054E7" w:rsidRDefault="007A14D0" w:rsidP="001A0F01">
            <w:pPr>
              <w:jc w:val="center"/>
            </w:pPr>
            <w:r w:rsidRPr="00A054E7">
              <w:rPr>
                <w:kern w:val="0"/>
              </w:rPr>
              <w:t>各</w:t>
            </w:r>
            <w:r w:rsidRPr="00A054E7">
              <w:rPr>
                <w:kern w:val="0"/>
              </w:rPr>
              <w:t xml:space="preserve"> </w:t>
            </w:r>
            <w:r w:rsidRPr="00A054E7">
              <w:rPr>
                <w:kern w:val="0"/>
              </w:rPr>
              <w:t>處</w:t>
            </w:r>
            <w:r w:rsidRPr="00A054E7">
              <w:rPr>
                <w:kern w:val="0"/>
              </w:rPr>
              <w:t xml:space="preserve"> </w:t>
            </w:r>
            <w:r w:rsidRPr="00A054E7">
              <w:rPr>
                <w:kern w:val="0"/>
              </w:rPr>
              <w:t>室</w:t>
            </w:r>
            <w:r w:rsidRPr="00A054E7">
              <w:rPr>
                <w:kern w:val="0"/>
              </w:rPr>
              <w:t xml:space="preserve"> </w:t>
            </w:r>
            <w:r w:rsidRPr="00A054E7">
              <w:rPr>
                <w:kern w:val="0"/>
              </w:rPr>
              <w:t>意</w:t>
            </w:r>
            <w:r w:rsidRPr="00A054E7">
              <w:rPr>
                <w:kern w:val="0"/>
              </w:rPr>
              <w:t xml:space="preserve"> </w:t>
            </w:r>
            <w:r w:rsidRPr="00A054E7">
              <w:rPr>
                <w:kern w:val="0"/>
              </w:rPr>
              <w:t>見</w:t>
            </w:r>
            <w:r w:rsidRPr="00A054E7">
              <w:rPr>
                <w:kern w:val="0"/>
              </w:rPr>
              <w:t xml:space="preserve"> </w:t>
            </w:r>
            <w:r w:rsidRPr="00A054E7">
              <w:rPr>
                <w:kern w:val="0"/>
              </w:rPr>
              <w:t>回</w:t>
            </w:r>
            <w:r w:rsidRPr="00A054E7">
              <w:rPr>
                <w:kern w:val="0"/>
              </w:rPr>
              <w:t xml:space="preserve"> </w:t>
            </w:r>
            <w:r w:rsidRPr="00A054E7">
              <w:rPr>
                <w:kern w:val="0"/>
              </w:rPr>
              <w:t>覆</w:t>
            </w:r>
          </w:p>
        </w:tc>
      </w:tr>
      <w:tr w:rsidR="00D009DF" w:rsidRPr="00A054E7" w:rsidTr="00795671">
        <w:trPr>
          <w:trHeight w:val="493"/>
        </w:trPr>
        <w:tc>
          <w:tcPr>
            <w:tcW w:w="585" w:type="dxa"/>
            <w:vAlign w:val="center"/>
          </w:tcPr>
          <w:p w:rsidR="00D009DF" w:rsidRDefault="00D009DF" w:rsidP="00D009DF">
            <w:r>
              <w:rPr>
                <w:rFonts w:hint="eastAsia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F" w:rsidRPr="00562A76" w:rsidRDefault="00EA7A52" w:rsidP="00D009DF">
            <w:pPr>
              <w:widowControl/>
              <w:jc w:val="center"/>
              <w:rPr>
                <w:rFonts w:eastAsia="標楷體" w:cstheme="minorHAnsi"/>
                <w:color w:val="000000"/>
              </w:rPr>
            </w:pPr>
            <w:r>
              <w:rPr>
                <w:rFonts w:eastAsia="標楷體" w:cstheme="minorHAnsi" w:hint="eastAsia"/>
                <w:color w:val="000000"/>
              </w:rPr>
              <w:t>107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DF" w:rsidRPr="00EA7A52" w:rsidRDefault="00EA7A52" w:rsidP="00D009DF">
            <w:pPr>
              <w:rPr>
                <w:rFonts w:ascii="新細明體" w:eastAsia="新細明體" w:hAnsi="新細明體"/>
                <w:color w:val="000000"/>
              </w:rPr>
            </w:pPr>
            <w:r w:rsidRPr="00EA7A52">
              <w:rPr>
                <w:rFonts w:ascii="新細明體" w:eastAsia="新細明體" w:hAnsi="新細明體" w:hint="eastAsia"/>
                <w:color w:val="000000"/>
              </w:rPr>
              <w:t>請學校提供學生能擔任志工及其時數能被認證的機構名單</w:t>
            </w:r>
          </w:p>
        </w:tc>
        <w:tc>
          <w:tcPr>
            <w:tcW w:w="10996" w:type="dxa"/>
          </w:tcPr>
          <w:p w:rsidR="00D009DF" w:rsidRPr="00332DC3" w:rsidRDefault="005F5AB3" w:rsidP="00D009D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在本校校網之公告訊息、訓育組網頁及訓育組公佈欄已張貼相關訊息。</w:t>
            </w:r>
          </w:p>
        </w:tc>
      </w:tr>
      <w:tr w:rsidR="005F5AB3" w:rsidRPr="00A054E7" w:rsidTr="00795671">
        <w:trPr>
          <w:trHeight w:val="493"/>
        </w:trPr>
        <w:tc>
          <w:tcPr>
            <w:tcW w:w="585" w:type="dxa"/>
            <w:vAlign w:val="center"/>
          </w:tcPr>
          <w:p w:rsidR="005F5AB3" w:rsidRPr="00562A76" w:rsidRDefault="005F5AB3" w:rsidP="005F5AB3">
            <w:pPr>
              <w:rPr>
                <w:rFonts w:cstheme="minorHAnsi"/>
              </w:rPr>
            </w:pPr>
            <w:r w:rsidRPr="00562A76">
              <w:rPr>
                <w:rFonts w:cstheme="minorHAnsi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B3" w:rsidRPr="00562A76" w:rsidRDefault="005F5AB3" w:rsidP="005F5AB3">
            <w:pPr>
              <w:widowControl/>
              <w:jc w:val="center"/>
              <w:rPr>
                <w:rFonts w:eastAsia="標楷體" w:cstheme="minorHAnsi"/>
                <w:color w:val="000000"/>
              </w:rPr>
            </w:pPr>
            <w:r>
              <w:rPr>
                <w:rFonts w:eastAsia="標楷體" w:cstheme="minorHAnsi" w:hint="eastAsia"/>
                <w:color w:val="000000"/>
              </w:rPr>
              <w:t>108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AB3" w:rsidRDefault="005F5AB3" w:rsidP="005F5AB3">
            <w:pPr>
              <w:rPr>
                <w:rFonts w:ascii="新細明體" w:eastAsia="新細明體" w:hAnsi="新細明體"/>
                <w:color w:val="000000"/>
              </w:rPr>
            </w:pPr>
            <w:r w:rsidRPr="00EA7A52">
              <w:rPr>
                <w:rFonts w:ascii="新細明體" w:eastAsia="新細明體" w:hAnsi="新細明體" w:hint="eastAsia"/>
                <w:color w:val="000000"/>
              </w:rPr>
              <w:t>志工服務除校內外，校外還能選哪些機構，學校可否提供管道</w:t>
            </w:r>
          </w:p>
        </w:tc>
        <w:tc>
          <w:tcPr>
            <w:tcW w:w="10996" w:type="dxa"/>
          </w:tcPr>
          <w:p w:rsidR="005F5AB3" w:rsidRPr="00332DC3" w:rsidRDefault="005F5AB3" w:rsidP="005F5AB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在本校校網之公告訊息、訓育組網頁及訓育組公佈欄已張貼相關訊息。</w:t>
            </w:r>
          </w:p>
        </w:tc>
      </w:tr>
      <w:tr w:rsidR="005F5AB3" w:rsidRPr="00A054E7" w:rsidTr="00795671">
        <w:trPr>
          <w:trHeight w:val="493"/>
        </w:trPr>
        <w:tc>
          <w:tcPr>
            <w:tcW w:w="585" w:type="dxa"/>
            <w:vAlign w:val="center"/>
          </w:tcPr>
          <w:p w:rsidR="005F5AB3" w:rsidRDefault="005F5AB3" w:rsidP="005F5AB3">
            <w:r>
              <w:rPr>
                <w:rFonts w:hint="eastAsia"/>
              </w:rPr>
              <w:t>3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F5AB3" w:rsidRDefault="005F5AB3" w:rsidP="005F5AB3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310</w:t>
            </w:r>
          </w:p>
        </w:tc>
        <w:tc>
          <w:tcPr>
            <w:tcW w:w="3379" w:type="dxa"/>
            <w:shd w:val="clear" w:color="auto" w:fill="auto"/>
          </w:tcPr>
          <w:p w:rsidR="005F5AB3" w:rsidRDefault="005F5AB3" w:rsidP="005F5AB3">
            <w:pPr>
              <w:widowControl/>
              <w:rPr>
                <w:color w:val="000000"/>
                <w:kern w:val="0"/>
              </w:rPr>
            </w:pPr>
            <w:r w:rsidRPr="004820FB">
              <w:rPr>
                <w:rFonts w:hint="eastAsia"/>
                <w:color w:val="000000"/>
                <w:kern w:val="0"/>
              </w:rPr>
              <w:t>建議打第</w:t>
            </w:r>
            <w:r w:rsidRPr="004820FB">
              <w:rPr>
                <w:rFonts w:hint="eastAsia"/>
                <w:color w:val="000000"/>
                <w:kern w:val="0"/>
              </w:rPr>
              <w:t>2</w:t>
            </w:r>
            <w:r w:rsidRPr="004820FB">
              <w:rPr>
                <w:rFonts w:hint="eastAsia"/>
                <w:color w:val="000000"/>
                <w:kern w:val="0"/>
              </w:rPr>
              <w:t>劑</w:t>
            </w:r>
            <w:r w:rsidRPr="004820FB">
              <w:rPr>
                <w:rFonts w:hint="eastAsia"/>
                <w:color w:val="000000"/>
                <w:kern w:val="0"/>
              </w:rPr>
              <w:t>B</w:t>
            </w:r>
            <w:r w:rsidRPr="004820FB">
              <w:rPr>
                <w:color w:val="000000"/>
                <w:kern w:val="0"/>
              </w:rPr>
              <w:t>NT</w:t>
            </w:r>
            <w:r w:rsidRPr="004820FB">
              <w:rPr>
                <w:rFonts w:hint="eastAsia"/>
                <w:color w:val="000000"/>
                <w:kern w:val="0"/>
              </w:rPr>
              <w:t>時開放學生事先請假</w:t>
            </w:r>
            <w:r w:rsidRPr="004820FB">
              <w:rPr>
                <w:rFonts w:hint="eastAsia"/>
                <w:color w:val="000000"/>
                <w:kern w:val="0"/>
              </w:rPr>
              <w:t>(</w:t>
            </w:r>
            <w:r w:rsidRPr="004820FB">
              <w:rPr>
                <w:rFonts w:hint="eastAsia"/>
                <w:color w:val="000000"/>
                <w:kern w:val="0"/>
              </w:rPr>
              <w:t>上午打疫苗，家長趁中午空檔帶學生回家休息</w:t>
            </w:r>
            <w:r w:rsidRPr="004820FB">
              <w:rPr>
                <w:rFonts w:hint="eastAsia"/>
                <w:color w:val="000000"/>
                <w:kern w:val="0"/>
              </w:rPr>
              <w:t>)</w:t>
            </w:r>
          </w:p>
        </w:tc>
        <w:tc>
          <w:tcPr>
            <w:tcW w:w="10996" w:type="dxa"/>
          </w:tcPr>
          <w:p w:rsidR="005F5AB3" w:rsidRDefault="00534167" w:rsidP="00534167">
            <w:pPr>
              <w:pStyle w:val="a3"/>
              <w:numPr>
                <w:ilvl w:val="0"/>
                <w:numId w:val="19"/>
              </w:numPr>
              <w:ind w:leftChars="0"/>
            </w:pPr>
            <w:r>
              <w:rPr>
                <w:rFonts w:hint="eastAsia"/>
              </w:rPr>
              <w:t>依據</w:t>
            </w: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日桃教體字第</w:t>
            </w:r>
            <w:r>
              <w:rPr>
                <w:rFonts w:hint="eastAsia"/>
              </w:rPr>
              <w:t>1100227630</w:t>
            </w:r>
            <w:r>
              <w:rPr>
                <w:rFonts w:hint="eastAsia"/>
              </w:rPr>
              <w:t>號函指示，若學生於接種疫苗後，當日起如有不良反應，得申請疫苗假。</w:t>
            </w:r>
          </w:p>
          <w:p w:rsidR="00534167" w:rsidRPr="00A054E7" w:rsidRDefault="00534167" w:rsidP="00534167">
            <w:pPr>
              <w:pStyle w:val="a3"/>
              <w:numPr>
                <w:ilvl w:val="0"/>
                <w:numId w:val="19"/>
              </w:numPr>
              <w:ind w:leftChars="0"/>
            </w:pPr>
            <w:r>
              <w:rPr>
                <w:rFonts w:hint="eastAsia"/>
              </w:rPr>
              <w:t>若學生當日施打完疫苗有不良反應，可先填寫</w:t>
            </w:r>
            <w:r>
              <w:rPr>
                <w:rFonts w:asciiTheme="minorEastAsia" w:hAnsiTheme="minorEastAsia" w:hint="eastAsia"/>
              </w:rPr>
              <w:t>「臨時外出</w:t>
            </w:r>
            <w:r>
              <w:rPr>
                <w:rFonts w:ascii="新細明體" w:eastAsia="新細明體" w:hAnsi="新細明體" w:hint="eastAsia"/>
              </w:rPr>
              <w:t>」單，待返校後再依請假規定辦理請假。</w:t>
            </w:r>
          </w:p>
        </w:tc>
      </w:tr>
      <w:tr w:rsidR="005F5AB3" w:rsidRPr="00A054E7" w:rsidTr="00795671">
        <w:trPr>
          <w:trHeight w:val="493"/>
        </w:trPr>
        <w:tc>
          <w:tcPr>
            <w:tcW w:w="585" w:type="dxa"/>
            <w:vAlign w:val="center"/>
          </w:tcPr>
          <w:p w:rsidR="005F5AB3" w:rsidRDefault="005F5AB3" w:rsidP="005F5AB3">
            <w:r>
              <w:rPr>
                <w:rFonts w:hint="eastAsia"/>
              </w:rPr>
              <w:t>4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F5AB3" w:rsidRPr="004820FB" w:rsidRDefault="005F5AB3" w:rsidP="005F5AB3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401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5F5AB3" w:rsidRPr="006F06FB" w:rsidRDefault="005F5AB3" w:rsidP="005F5AB3">
            <w:pPr>
              <w:widowControl/>
              <w:rPr>
                <w:color w:val="000000"/>
                <w:kern w:val="0"/>
              </w:rPr>
            </w:pPr>
            <w:r w:rsidRPr="004820FB">
              <w:rPr>
                <w:rFonts w:hint="eastAsia"/>
                <w:color w:val="000000"/>
                <w:kern w:val="0"/>
              </w:rPr>
              <w:t>可否與新興合作，透過控制號誌、交管、排除車流與人流阻塞，別再讓家長每天上下學接送學生時面對交通</w:t>
            </w:r>
            <w:r>
              <w:rPr>
                <w:rFonts w:hint="eastAsia"/>
                <w:color w:val="000000"/>
                <w:kern w:val="0"/>
              </w:rPr>
              <w:t>癱瘓</w:t>
            </w:r>
            <w:r w:rsidRPr="004820FB">
              <w:rPr>
                <w:rFonts w:hint="eastAsia"/>
                <w:color w:val="000000"/>
                <w:kern w:val="0"/>
              </w:rPr>
              <w:t>至少</w:t>
            </w:r>
            <w:r w:rsidRPr="004820FB">
              <w:rPr>
                <w:rFonts w:hint="eastAsia"/>
                <w:color w:val="000000"/>
                <w:kern w:val="0"/>
              </w:rPr>
              <w:t>20</w:t>
            </w:r>
            <w:r w:rsidRPr="004820FB">
              <w:rPr>
                <w:rFonts w:hint="eastAsia"/>
                <w:color w:val="000000"/>
                <w:kern w:val="0"/>
              </w:rPr>
              <w:t>分鐘以上的困擾。</w:t>
            </w:r>
          </w:p>
        </w:tc>
        <w:tc>
          <w:tcPr>
            <w:tcW w:w="10996" w:type="dxa"/>
          </w:tcPr>
          <w:p w:rsidR="00034C43" w:rsidRDefault="007B40F7" w:rsidP="00034C43">
            <w:pPr>
              <w:pStyle w:val="a3"/>
              <w:numPr>
                <w:ilvl w:val="0"/>
                <w:numId w:val="20"/>
              </w:numPr>
              <w:ind w:leftChars="0"/>
            </w:pPr>
            <w:r>
              <w:rPr>
                <w:rFonts w:hint="eastAsia"/>
              </w:rPr>
              <w:t>學校周邊因有省</w:t>
            </w:r>
            <w:r w:rsidR="00034C43">
              <w:rPr>
                <w:rFonts w:hint="eastAsia"/>
              </w:rPr>
              <w:t>道、鐵路，所以交通流量原本就很大，因此與新興高中協調並已錯開上學到校時間及放學時間。</w:t>
            </w:r>
          </w:p>
          <w:p w:rsidR="005F5AB3" w:rsidRPr="00A054E7" w:rsidRDefault="007B40F7" w:rsidP="00034C43">
            <w:pPr>
              <w:pStyle w:val="a3"/>
              <w:numPr>
                <w:ilvl w:val="0"/>
                <w:numId w:val="20"/>
              </w:numPr>
              <w:ind w:leftChars="0"/>
            </w:pPr>
            <w:r>
              <w:rPr>
                <w:rFonts w:hint="eastAsia"/>
              </w:rPr>
              <w:t>交通號誌控制箱</w:t>
            </w:r>
            <w:r w:rsidR="00034C43">
              <w:rPr>
                <w:rFonts w:hint="eastAsia"/>
              </w:rPr>
              <w:t>為</w:t>
            </w:r>
            <w:r>
              <w:rPr>
                <w:rFonts w:hint="eastAsia"/>
              </w:rPr>
              <w:t>桃園市政府交通局所屬，學校單位直接無法管控。</w:t>
            </w:r>
          </w:p>
        </w:tc>
      </w:tr>
      <w:tr w:rsidR="005F5AB3" w:rsidRPr="00A054E7" w:rsidTr="00795671">
        <w:trPr>
          <w:trHeight w:val="533"/>
        </w:trPr>
        <w:tc>
          <w:tcPr>
            <w:tcW w:w="585" w:type="dxa"/>
            <w:vAlign w:val="center"/>
          </w:tcPr>
          <w:p w:rsidR="005F5AB3" w:rsidRDefault="005F5AB3" w:rsidP="005F5AB3">
            <w:r>
              <w:rPr>
                <w:rFonts w:hint="eastAsia"/>
              </w:rPr>
              <w:t>5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F5AB3" w:rsidRPr="00A054E7" w:rsidRDefault="005F5AB3" w:rsidP="005F5AB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501</w:t>
            </w:r>
          </w:p>
        </w:tc>
        <w:tc>
          <w:tcPr>
            <w:tcW w:w="3379" w:type="dxa"/>
            <w:shd w:val="clear" w:color="auto" w:fill="auto"/>
          </w:tcPr>
          <w:p w:rsidR="005F5AB3" w:rsidRPr="00A054E7" w:rsidRDefault="005F5AB3" w:rsidP="005F5AB3">
            <w:pPr>
              <w:widowControl/>
              <w:ind w:left="2"/>
              <w:rPr>
                <w:color w:val="000000"/>
                <w:kern w:val="0"/>
              </w:rPr>
            </w:pPr>
            <w:r w:rsidRPr="000311C7">
              <w:rPr>
                <w:rFonts w:hint="eastAsia"/>
                <w:color w:val="000000"/>
                <w:kern w:val="0"/>
              </w:rPr>
              <w:t>可否檢討遲到用午休罰站立的制度，避免學生因中午站立睡眠不足</w:t>
            </w:r>
          </w:p>
        </w:tc>
        <w:tc>
          <w:tcPr>
            <w:tcW w:w="10996" w:type="dxa"/>
          </w:tcPr>
          <w:p w:rsidR="005F5AB3" w:rsidRPr="00357710" w:rsidRDefault="005F5AB3" w:rsidP="005F5AB3">
            <w:r>
              <w:rPr>
                <w:rFonts w:hint="eastAsia"/>
              </w:rPr>
              <w:t>本校</w:t>
            </w:r>
            <w:r w:rsidR="00984CC7">
              <w:rPr>
                <w:rFonts w:hint="eastAsia"/>
              </w:rPr>
              <w:t>針對上學遲到同學，利用非學習時段時間，</w:t>
            </w:r>
            <w:r>
              <w:rPr>
                <w:rFonts w:hint="eastAsia"/>
              </w:rPr>
              <w:t>透過集體正向輔導措施</w:t>
            </w:r>
            <w:r w:rsidR="00984CC7">
              <w:rPr>
                <w:rFonts w:hint="eastAsia"/>
              </w:rPr>
              <w:t>，期望端正學生時間觀念，養成</w:t>
            </w:r>
            <w:r>
              <w:rPr>
                <w:rFonts w:hint="eastAsia"/>
              </w:rPr>
              <w:t>愛時</w:t>
            </w:r>
            <w:r w:rsidR="00984CC7">
              <w:rPr>
                <w:rFonts w:hint="eastAsia"/>
              </w:rPr>
              <w:t>、</w:t>
            </w:r>
            <w:r>
              <w:rPr>
                <w:rFonts w:hint="eastAsia"/>
              </w:rPr>
              <w:t>惜時的</w:t>
            </w:r>
            <w:r w:rsidR="00F11E92">
              <w:rPr>
                <w:rFonts w:hint="eastAsia"/>
              </w:rPr>
              <w:t>好</w:t>
            </w:r>
            <w:r w:rsidR="00984CC7">
              <w:rPr>
                <w:rFonts w:hint="eastAsia"/>
              </w:rPr>
              <w:t>習慣，同時亦助於各班導師之班級經營管理。</w:t>
            </w:r>
          </w:p>
        </w:tc>
      </w:tr>
      <w:tr w:rsidR="005F5AB3" w:rsidRPr="00A054E7" w:rsidTr="00795671">
        <w:trPr>
          <w:trHeight w:val="533"/>
        </w:trPr>
        <w:tc>
          <w:tcPr>
            <w:tcW w:w="585" w:type="dxa"/>
            <w:vAlign w:val="center"/>
          </w:tcPr>
          <w:p w:rsidR="005F5AB3" w:rsidRPr="00A054E7" w:rsidRDefault="005F5AB3" w:rsidP="005F5AB3">
            <w:r>
              <w:t>6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F5AB3" w:rsidRDefault="005F5AB3" w:rsidP="005F5AB3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403</w:t>
            </w:r>
          </w:p>
        </w:tc>
        <w:tc>
          <w:tcPr>
            <w:tcW w:w="3379" w:type="dxa"/>
            <w:shd w:val="clear" w:color="auto" w:fill="auto"/>
          </w:tcPr>
          <w:p w:rsidR="005F5AB3" w:rsidRDefault="005F5AB3" w:rsidP="005F5AB3">
            <w:pPr>
              <w:widowControl/>
              <w:rPr>
                <w:color w:val="000000"/>
              </w:rPr>
            </w:pPr>
            <w:r w:rsidRPr="000311C7">
              <w:rPr>
                <w:rFonts w:hint="eastAsia"/>
                <w:color w:val="000000"/>
              </w:rPr>
              <w:t>校車太擠</w:t>
            </w:r>
          </w:p>
        </w:tc>
        <w:tc>
          <w:tcPr>
            <w:tcW w:w="10996" w:type="dxa"/>
            <w:vMerge w:val="restart"/>
          </w:tcPr>
          <w:p w:rsidR="007B40F7" w:rsidRDefault="007B40F7" w:rsidP="007B40F7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本校學生專車是桃園客運以公車方式協助本校載運學生上放學，並無契約模式，且桃園客運業已回函本校已無額外多餘人力加派車輛。</w:t>
            </w:r>
          </w:p>
          <w:p w:rsidR="007B40F7" w:rsidRDefault="007B40F7" w:rsidP="007B40F7">
            <w:r>
              <w:rPr>
                <w:rFonts w:hint="eastAsia"/>
              </w:rPr>
              <w:t>2.</w:t>
            </w:r>
            <w:r w:rsidR="003C3BF8">
              <w:rPr>
                <w:rFonts w:hint="eastAsia"/>
              </w:rPr>
              <w:t>專車收費方式，本校也有調查過學生與家長意願，然</w:t>
            </w:r>
            <w:r>
              <w:rPr>
                <w:rFonts w:hint="eastAsia"/>
              </w:rPr>
              <w:t>收費過高，與</w:t>
            </w:r>
            <w:r w:rsidR="003C3BF8">
              <w:rPr>
                <w:rFonts w:hint="eastAsia"/>
              </w:rPr>
              <w:t>目前</w:t>
            </w:r>
            <w:r>
              <w:rPr>
                <w:rFonts w:hint="eastAsia"/>
              </w:rPr>
              <w:t>費用</w:t>
            </w:r>
            <w:r w:rsidR="003C3BF8">
              <w:rPr>
                <w:rFonts w:hint="eastAsia"/>
              </w:rPr>
              <w:t>(</w:t>
            </w:r>
            <w:r w:rsidR="003C3BF8">
              <w:rPr>
                <w:rFonts w:hint="eastAsia"/>
              </w:rPr>
              <w:t>一班公車費用</w:t>
            </w:r>
            <w:r w:rsidR="003C3BF8">
              <w:rPr>
                <w:rFonts w:hint="eastAsia"/>
              </w:rPr>
              <w:t>)</w:t>
            </w:r>
            <w:r>
              <w:rPr>
                <w:rFonts w:hint="eastAsia"/>
              </w:rPr>
              <w:t>金額差異過大，故多數家長與學生意願不高。</w:t>
            </w:r>
          </w:p>
          <w:p w:rsidR="003C3BF8" w:rsidRDefault="007B40F7" w:rsidP="007B40F7">
            <w:pPr>
              <w:rPr>
                <w:color w:val="000000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學生搭乘專</w:t>
            </w:r>
            <w:r w:rsidRPr="005012AE">
              <w:rPr>
                <w:rFonts w:hint="eastAsia"/>
                <w:color w:val="000000"/>
              </w:rPr>
              <w:t>車</w:t>
            </w:r>
            <w:r>
              <w:rPr>
                <w:rFonts w:hint="eastAsia"/>
                <w:color w:val="000000"/>
              </w:rPr>
              <w:t>前已</w:t>
            </w:r>
            <w:r w:rsidR="003C3BF8">
              <w:rPr>
                <w:rFonts w:hint="eastAsia"/>
                <w:color w:val="000000"/>
              </w:rPr>
              <w:t>多次宣導要提前到站候車，且要先招手示意，讓司機提早準備靠站。</w:t>
            </w:r>
          </w:p>
          <w:p w:rsidR="005F5AB3" w:rsidRPr="00CA13EB" w:rsidRDefault="003C3BF8" w:rsidP="007B40F7">
            <w:r>
              <w:rPr>
                <w:rFonts w:hint="eastAsia"/>
                <w:color w:val="000000"/>
              </w:rPr>
              <w:lastRenderedPageBreak/>
              <w:t>4.</w:t>
            </w:r>
            <w:r>
              <w:rPr>
                <w:rFonts w:hint="eastAsia"/>
                <w:color w:val="000000"/>
              </w:rPr>
              <w:t>若當日因故</w:t>
            </w:r>
            <w:r w:rsidR="007B40F7" w:rsidRPr="005012AE">
              <w:rPr>
                <w:rFonts w:hint="eastAsia"/>
                <w:color w:val="000000"/>
              </w:rPr>
              <w:t>未搭</w:t>
            </w:r>
            <w:r w:rsidR="007B40F7">
              <w:rPr>
                <w:rFonts w:hint="eastAsia"/>
                <w:color w:val="000000"/>
              </w:rPr>
              <w:t>上專</w:t>
            </w:r>
            <w:r w:rsidR="007B40F7" w:rsidRPr="005012AE">
              <w:rPr>
                <w:rFonts w:hint="eastAsia"/>
                <w:color w:val="000000"/>
              </w:rPr>
              <w:t>車而遲到</w:t>
            </w:r>
            <w:r w:rsidR="007B40F7">
              <w:rPr>
                <w:rFonts w:hint="eastAsia"/>
                <w:color w:val="000000"/>
              </w:rPr>
              <w:t>，請當天</w:t>
            </w:r>
            <w:r>
              <w:rPr>
                <w:rFonts w:hint="eastAsia"/>
                <w:color w:val="000000"/>
              </w:rPr>
              <w:t>到校後，</w:t>
            </w:r>
            <w:r w:rsidR="007B40F7">
              <w:rPr>
                <w:rFonts w:hint="eastAsia"/>
                <w:color w:val="000000"/>
              </w:rPr>
              <w:t>立即</w:t>
            </w:r>
            <w:r>
              <w:rPr>
                <w:rFonts w:hint="eastAsia"/>
                <w:color w:val="000000"/>
              </w:rPr>
              <w:t>至教官室說明，個案處理</w:t>
            </w:r>
            <w:r w:rsidR="007B40F7">
              <w:rPr>
                <w:rFonts w:hint="eastAsia"/>
                <w:color w:val="000000"/>
              </w:rPr>
              <w:t>。</w:t>
            </w:r>
          </w:p>
        </w:tc>
      </w:tr>
      <w:tr w:rsidR="005F5AB3" w:rsidRPr="00A054E7" w:rsidTr="00795671">
        <w:trPr>
          <w:trHeight w:val="533"/>
        </w:trPr>
        <w:tc>
          <w:tcPr>
            <w:tcW w:w="585" w:type="dxa"/>
            <w:vAlign w:val="center"/>
          </w:tcPr>
          <w:p w:rsidR="005F5AB3" w:rsidRPr="00A054E7" w:rsidRDefault="005F5AB3" w:rsidP="005F5AB3">
            <w:r>
              <w:t>7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B3" w:rsidRPr="00174662" w:rsidRDefault="005F5AB3" w:rsidP="005F5AB3">
            <w:pPr>
              <w:widowControl/>
              <w:jc w:val="center"/>
              <w:rPr>
                <w:rFonts w:eastAsia="標楷體" w:cstheme="minorHAnsi"/>
                <w:color w:val="000000"/>
              </w:rPr>
            </w:pPr>
            <w:r>
              <w:rPr>
                <w:rFonts w:eastAsia="標楷體" w:cstheme="minorHAnsi" w:hint="eastAsia"/>
                <w:color w:val="000000"/>
              </w:rPr>
              <w:t>404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AB3" w:rsidRDefault="005F5AB3" w:rsidP="005F5AB3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0311C7">
              <w:rPr>
                <w:rFonts w:ascii="新細明體" w:eastAsia="新細明體" w:hAnsi="新細明體" w:hint="eastAsia"/>
                <w:color w:val="000000"/>
              </w:rPr>
              <w:t>公車大湳線乘坐人數過多，請增加班次</w:t>
            </w:r>
          </w:p>
        </w:tc>
        <w:tc>
          <w:tcPr>
            <w:tcW w:w="10996" w:type="dxa"/>
            <w:vMerge/>
          </w:tcPr>
          <w:p w:rsidR="005F5AB3" w:rsidRPr="00A054E7" w:rsidRDefault="005F5AB3" w:rsidP="005F5AB3"/>
        </w:tc>
      </w:tr>
      <w:tr w:rsidR="005F5AB3" w:rsidRPr="00A054E7" w:rsidTr="00795671">
        <w:trPr>
          <w:trHeight w:val="533"/>
        </w:trPr>
        <w:tc>
          <w:tcPr>
            <w:tcW w:w="585" w:type="dxa"/>
            <w:vAlign w:val="center"/>
          </w:tcPr>
          <w:p w:rsidR="005F5AB3" w:rsidRDefault="005F5AB3" w:rsidP="005F5AB3">
            <w:r>
              <w:rPr>
                <w:rFonts w:hint="eastAsia"/>
              </w:rPr>
              <w:t>8</w:t>
            </w:r>
          </w:p>
        </w:tc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5AB3" w:rsidRDefault="005F5AB3" w:rsidP="005F5AB3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501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auto"/>
          </w:tcPr>
          <w:p w:rsidR="005F5AB3" w:rsidRDefault="005F5AB3" w:rsidP="005F5AB3">
            <w:pPr>
              <w:widowControl/>
              <w:rPr>
                <w:color w:val="000000"/>
                <w:kern w:val="0"/>
              </w:rPr>
            </w:pPr>
            <w:r w:rsidRPr="005012AE">
              <w:rPr>
                <w:rFonts w:hint="eastAsia"/>
                <w:color w:val="000000"/>
                <w:kern w:val="0"/>
              </w:rPr>
              <w:t>平鎮線是否能增加班次</w:t>
            </w:r>
          </w:p>
        </w:tc>
        <w:tc>
          <w:tcPr>
            <w:tcW w:w="10996" w:type="dxa"/>
            <w:vMerge/>
          </w:tcPr>
          <w:p w:rsidR="005F5AB3" w:rsidRPr="00A054E7" w:rsidRDefault="005F5AB3" w:rsidP="005F5AB3"/>
        </w:tc>
      </w:tr>
      <w:tr w:rsidR="005F5AB3" w:rsidRPr="00A054E7" w:rsidTr="00795671">
        <w:trPr>
          <w:trHeight w:val="533"/>
        </w:trPr>
        <w:tc>
          <w:tcPr>
            <w:tcW w:w="585" w:type="dxa"/>
            <w:vAlign w:val="center"/>
          </w:tcPr>
          <w:p w:rsidR="005F5AB3" w:rsidRDefault="005F5AB3" w:rsidP="005F5AB3">
            <w:r>
              <w:lastRenderedPageBreak/>
              <w:t>9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F5AB3" w:rsidRDefault="005F5AB3" w:rsidP="005F5AB3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502</w:t>
            </w:r>
          </w:p>
        </w:tc>
        <w:tc>
          <w:tcPr>
            <w:tcW w:w="3379" w:type="dxa"/>
            <w:shd w:val="clear" w:color="auto" w:fill="auto"/>
          </w:tcPr>
          <w:p w:rsidR="005F5AB3" w:rsidRPr="009B0A42" w:rsidRDefault="005F5AB3" w:rsidP="005F5AB3">
            <w:pPr>
              <w:widowControl/>
              <w:rPr>
                <w:color w:val="000000"/>
              </w:rPr>
            </w:pPr>
            <w:r w:rsidRPr="005012AE">
              <w:rPr>
                <w:rFonts w:hint="eastAsia"/>
                <w:color w:val="000000"/>
              </w:rPr>
              <w:t>校車提早到站致學生未搭校車而遲到，校方要如何處理</w:t>
            </w:r>
          </w:p>
        </w:tc>
        <w:tc>
          <w:tcPr>
            <w:tcW w:w="10996" w:type="dxa"/>
            <w:vMerge/>
          </w:tcPr>
          <w:p w:rsidR="005F5AB3" w:rsidRPr="00A054E7" w:rsidRDefault="005F5AB3" w:rsidP="005F5AB3"/>
        </w:tc>
      </w:tr>
    </w:tbl>
    <w:p w:rsidR="00525D5D" w:rsidRDefault="00525D5D" w:rsidP="007A14D0">
      <w:pPr>
        <w:rPr>
          <w:rFonts w:ascii="華康細圓體" w:eastAsia="華康細圓體"/>
          <w:sz w:val="32"/>
          <w:szCs w:val="32"/>
        </w:rPr>
      </w:pPr>
    </w:p>
    <w:p w:rsidR="005E028A" w:rsidRDefault="007A14D0" w:rsidP="007A14D0">
      <w:pPr>
        <w:rPr>
          <w:rFonts w:ascii="華康細圓體" w:eastAsia="華康細圓體"/>
          <w:sz w:val="32"/>
          <w:szCs w:val="32"/>
        </w:rPr>
      </w:pPr>
      <w:r>
        <w:rPr>
          <w:rFonts w:ascii="華康細圓體" w:eastAsia="華康細圓體" w:hint="eastAsia"/>
          <w:sz w:val="32"/>
          <w:szCs w:val="32"/>
        </w:rPr>
        <w:t>●</w:t>
      </w:r>
      <w:r w:rsidR="005E028A">
        <w:rPr>
          <w:rFonts w:ascii="華康細圓體" w:eastAsia="華康細圓體" w:hint="eastAsia"/>
          <w:sz w:val="32"/>
          <w:szCs w:val="32"/>
        </w:rPr>
        <w:t>總務處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629"/>
        <w:gridCol w:w="3430"/>
        <w:gridCol w:w="10940"/>
      </w:tblGrid>
      <w:tr w:rsidR="007A14D0" w:rsidRPr="00A054E7" w:rsidTr="00D267D4">
        <w:trPr>
          <w:trHeight w:val="695"/>
          <w:tblHeader/>
        </w:trPr>
        <w:tc>
          <w:tcPr>
            <w:tcW w:w="589" w:type="dxa"/>
            <w:vAlign w:val="center"/>
          </w:tcPr>
          <w:p w:rsidR="007A14D0" w:rsidRPr="00A054E7" w:rsidRDefault="007A14D0" w:rsidP="001A0F01">
            <w:pPr>
              <w:jc w:val="center"/>
            </w:pPr>
            <w:r w:rsidRPr="00A054E7">
              <w:t>編號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7A14D0" w:rsidRPr="00A054E7" w:rsidRDefault="007A14D0" w:rsidP="001A0F01">
            <w:pPr>
              <w:jc w:val="center"/>
            </w:pPr>
            <w:r w:rsidRPr="00A054E7">
              <w:t>班級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vAlign w:val="center"/>
          </w:tcPr>
          <w:p w:rsidR="007A14D0" w:rsidRPr="00A054E7" w:rsidRDefault="007A14D0" w:rsidP="001A0F01">
            <w:pPr>
              <w:jc w:val="center"/>
              <w:rPr>
                <w:color w:val="000000"/>
                <w:kern w:val="0"/>
              </w:rPr>
            </w:pPr>
            <w:r w:rsidRPr="00A054E7">
              <w:rPr>
                <w:color w:val="000000"/>
                <w:kern w:val="0"/>
              </w:rPr>
              <w:t>意</w:t>
            </w:r>
            <w:r w:rsidRPr="00A054E7">
              <w:rPr>
                <w:color w:val="000000"/>
                <w:kern w:val="0"/>
              </w:rPr>
              <w:t xml:space="preserve">  </w:t>
            </w:r>
            <w:r w:rsidRPr="00A054E7">
              <w:rPr>
                <w:color w:val="000000"/>
                <w:kern w:val="0"/>
              </w:rPr>
              <w:t>見</w:t>
            </w:r>
            <w:r w:rsidRPr="00A054E7">
              <w:rPr>
                <w:color w:val="000000"/>
                <w:kern w:val="0"/>
              </w:rPr>
              <w:t xml:space="preserve">  </w:t>
            </w:r>
            <w:r w:rsidRPr="00A054E7">
              <w:rPr>
                <w:color w:val="000000"/>
                <w:kern w:val="0"/>
              </w:rPr>
              <w:t>陳</w:t>
            </w:r>
            <w:r w:rsidRPr="00A054E7">
              <w:rPr>
                <w:color w:val="000000"/>
                <w:kern w:val="0"/>
              </w:rPr>
              <w:t xml:space="preserve">  </w:t>
            </w:r>
            <w:r w:rsidRPr="00A054E7">
              <w:rPr>
                <w:color w:val="000000"/>
                <w:kern w:val="0"/>
              </w:rPr>
              <w:t>述</w:t>
            </w:r>
          </w:p>
        </w:tc>
        <w:tc>
          <w:tcPr>
            <w:tcW w:w="10940" w:type="dxa"/>
            <w:vAlign w:val="center"/>
          </w:tcPr>
          <w:p w:rsidR="007A14D0" w:rsidRPr="00A054E7" w:rsidRDefault="007A14D0" w:rsidP="001A0F01">
            <w:pPr>
              <w:jc w:val="center"/>
            </w:pPr>
            <w:r w:rsidRPr="00A054E7">
              <w:rPr>
                <w:kern w:val="0"/>
              </w:rPr>
              <w:t>各</w:t>
            </w:r>
            <w:r w:rsidRPr="00A054E7">
              <w:rPr>
                <w:kern w:val="0"/>
              </w:rPr>
              <w:t xml:space="preserve"> </w:t>
            </w:r>
            <w:r w:rsidRPr="00A054E7">
              <w:rPr>
                <w:kern w:val="0"/>
              </w:rPr>
              <w:t>處</w:t>
            </w:r>
            <w:r w:rsidRPr="00A054E7">
              <w:rPr>
                <w:kern w:val="0"/>
              </w:rPr>
              <w:t xml:space="preserve"> </w:t>
            </w:r>
            <w:r w:rsidRPr="00A054E7">
              <w:rPr>
                <w:kern w:val="0"/>
              </w:rPr>
              <w:t>室</w:t>
            </w:r>
            <w:r w:rsidRPr="00A054E7">
              <w:rPr>
                <w:kern w:val="0"/>
              </w:rPr>
              <w:t xml:space="preserve"> </w:t>
            </w:r>
            <w:r w:rsidRPr="00A054E7">
              <w:rPr>
                <w:kern w:val="0"/>
              </w:rPr>
              <w:t>意</w:t>
            </w:r>
            <w:r w:rsidRPr="00A054E7">
              <w:rPr>
                <w:kern w:val="0"/>
              </w:rPr>
              <w:t xml:space="preserve"> </w:t>
            </w:r>
            <w:r w:rsidRPr="00A054E7">
              <w:rPr>
                <w:kern w:val="0"/>
              </w:rPr>
              <w:t>見</w:t>
            </w:r>
            <w:r w:rsidRPr="00A054E7">
              <w:rPr>
                <w:kern w:val="0"/>
              </w:rPr>
              <w:t xml:space="preserve"> </w:t>
            </w:r>
            <w:r w:rsidRPr="00A054E7">
              <w:rPr>
                <w:kern w:val="0"/>
              </w:rPr>
              <w:t>回</w:t>
            </w:r>
            <w:r w:rsidRPr="00A054E7">
              <w:rPr>
                <w:kern w:val="0"/>
              </w:rPr>
              <w:t xml:space="preserve"> </w:t>
            </w:r>
            <w:r w:rsidRPr="00A054E7">
              <w:rPr>
                <w:kern w:val="0"/>
              </w:rPr>
              <w:t>覆</w:t>
            </w:r>
          </w:p>
        </w:tc>
      </w:tr>
      <w:tr w:rsidR="00DF5881" w:rsidRPr="00A054E7" w:rsidTr="00DA2A13">
        <w:trPr>
          <w:trHeight w:val="533"/>
        </w:trPr>
        <w:tc>
          <w:tcPr>
            <w:tcW w:w="589" w:type="dxa"/>
            <w:vAlign w:val="center"/>
          </w:tcPr>
          <w:p w:rsidR="00DF5881" w:rsidRPr="00A054E7" w:rsidRDefault="00DF5881" w:rsidP="00DF5881">
            <w:r w:rsidRPr="00A054E7"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81" w:rsidRPr="00174662" w:rsidRDefault="00DF5881" w:rsidP="00DF5881">
            <w:pPr>
              <w:widowControl/>
              <w:jc w:val="center"/>
              <w:rPr>
                <w:rFonts w:eastAsia="標楷體" w:cstheme="minorHAnsi"/>
                <w:color w:val="000000"/>
              </w:rPr>
            </w:pPr>
            <w:r>
              <w:rPr>
                <w:rFonts w:eastAsia="標楷體" w:cstheme="minorHAnsi" w:hint="eastAsia"/>
                <w:color w:val="000000"/>
              </w:rPr>
              <w:t>204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5881" w:rsidRDefault="00DF5881" w:rsidP="00DF5881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4820FB">
              <w:rPr>
                <w:rFonts w:ascii="新細明體" w:eastAsia="新細明體" w:hAnsi="新細明體" w:hint="eastAsia"/>
                <w:color w:val="000000"/>
              </w:rPr>
              <w:t>國二木桌椅情況不佳，</w:t>
            </w:r>
          </w:p>
          <w:p w:rsidR="00DF5881" w:rsidRDefault="00DF5881" w:rsidP="00DF5881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4820FB">
              <w:rPr>
                <w:rFonts w:ascii="新細明體" w:eastAsia="新細明體" w:hAnsi="新細明體" w:hint="eastAsia"/>
                <w:color w:val="000000"/>
              </w:rPr>
              <w:t>可否更新</w:t>
            </w:r>
          </w:p>
        </w:tc>
        <w:tc>
          <w:tcPr>
            <w:tcW w:w="10940" w:type="dxa"/>
          </w:tcPr>
          <w:p w:rsidR="00DF5881" w:rsidRPr="00DF5881" w:rsidRDefault="00DF5881" w:rsidP="00DF5881">
            <w:r w:rsidRPr="00DF5881">
              <w:rPr>
                <w:rFonts w:hint="eastAsia"/>
              </w:rPr>
              <w:t>已規劃逐年更換塑鋼桌椅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F5881" w:rsidRPr="00A054E7" w:rsidTr="00DA2A13">
        <w:trPr>
          <w:trHeight w:val="533"/>
        </w:trPr>
        <w:tc>
          <w:tcPr>
            <w:tcW w:w="589" w:type="dxa"/>
            <w:vAlign w:val="center"/>
          </w:tcPr>
          <w:p w:rsidR="00DF5881" w:rsidRPr="00A054E7" w:rsidRDefault="00DF5881" w:rsidP="00DF5881">
            <w:r w:rsidRPr="00A054E7"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81" w:rsidRPr="00174662" w:rsidRDefault="00DF5881" w:rsidP="00DF5881">
            <w:pPr>
              <w:widowControl/>
              <w:jc w:val="center"/>
              <w:rPr>
                <w:rFonts w:eastAsia="標楷體" w:cstheme="minorHAnsi"/>
                <w:color w:val="000000"/>
              </w:rPr>
            </w:pPr>
            <w:r>
              <w:rPr>
                <w:rFonts w:eastAsia="標楷體" w:cstheme="minorHAnsi" w:hint="eastAsia"/>
                <w:color w:val="000000"/>
              </w:rPr>
              <w:t>205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5881" w:rsidRDefault="00DF5881" w:rsidP="00DF5881">
            <w:pPr>
              <w:rPr>
                <w:rFonts w:ascii="新細明體" w:eastAsia="新細明體" w:hAnsi="新細明體"/>
                <w:color w:val="000000"/>
              </w:rPr>
            </w:pPr>
            <w:r w:rsidRPr="004820FB">
              <w:rPr>
                <w:rFonts w:ascii="新細明體" w:eastAsia="新細明體" w:hAnsi="新細明體" w:hint="eastAsia"/>
                <w:color w:val="000000"/>
              </w:rPr>
              <w:t>建議改善夏天飲水機冷水溫度偏高問題</w:t>
            </w:r>
          </w:p>
        </w:tc>
        <w:tc>
          <w:tcPr>
            <w:tcW w:w="10940" w:type="dxa"/>
          </w:tcPr>
          <w:p w:rsidR="00DF5881" w:rsidRPr="00DF5881" w:rsidRDefault="00DF5881" w:rsidP="00DF5881">
            <w:r w:rsidRPr="00DF5881">
              <w:rPr>
                <w:rFonts w:hint="eastAsia"/>
              </w:rPr>
              <w:t>依建議請廠商調整溫度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</w:tbl>
    <w:p w:rsidR="00CF48B6" w:rsidRDefault="00CF48B6" w:rsidP="007A14D0">
      <w:pPr>
        <w:rPr>
          <w:rFonts w:ascii="華康細圓體" w:eastAsia="華康細圓體"/>
          <w:sz w:val="32"/>
          <w:szCs w:val="32"/>
        </w:rPr>
      </w:pPr>
    </w:p>
    <w:p w:rsidR="005E028A" w:rsidRDefault="007A14D0" w:rsidP="007A14D0">
      <w:pPr>
        <w:rPr>
          <w:rFonts w:ascii="華康細圓體" w:eastAsia="華康細圓體"/>
          <w:sz w:val="32"/>
          <w:szCs w:val="32"/>
        </w:rPr>
      </w:pPr>
      <w:r>
        <w:rPr>
          <w:rFonts w:ascii="華康細圓體" w:eastAsia="華康細圓體" w:hint="eastAsia"/>
          <w:sz w:val="32"/>
          <w:szCs w:val="32"/>
        </w:rPr>
        <w:t>●</w:t>
      </w:r>
      <w:r w:rsidR="005E028A">
        <w:rPr>
          <w:rFonts w:ascii="華康細圓體" w:eastAsia="華康細圓體" w:hint="eastAsia"/>
          <w:sz w:val="32"/>
          <w:szCs w:val="32"/>
        </w:rPr>
        <w:t>輔導室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628"/>
        <w:gridCol w:w="3379"/>
        <w:gridCol w:w="10996"/>
      </w:tblGrid>
      <w:tr w:rsidR="00625353" w:rsidRPr="00A054E7" w:rsidTr="00CF48B6">
        <w:trPr>
          <w:trHeight w:val="695"/>
          <w:tblHeader/>
        </w:trPr>
        <w:tc>
          <w:tcPr>
            <w:tcW w:w="585" w:type="dxa"/>
            <w:vAlign w:val="center"/>
          </w:tcPr>
          <w:p w:rsidR="00625353" w:rsidRPr="00A054E7" w:rsidRDefault="00625353" w:rsidP="001A0F01">
            <w:pPr>
              <w:jc w:val="center"/>
            </w:pPr>
            <w:r w:rsidRPr="00A054E7">
              <w:t>編號</w:t>
            </w:r>
          </w:p>
        </w:tc>
        <w:tc>
          <w:tcPr>
            <w:tcW w:w="628" w:type="dxa"/>
            <w:vAlign w:val="center"/>
          </w:tcPr>
          <w:p w:rsidR="00625353" w:rsidRPr="00A054E7" w:rsidRDefault="00625353" w:rsidP="001A0F01">
            <w:pPr>
              <w:jc w:val="center"/>
            </w:pPr>
            <w:r w:rsidRPr="00A054E7">
              <w:t>班級</w:t>
            </w:r>
          </w:p>
        </w:tc>
        <w:tc>
          <w:tcPr>
            <w:tcW w:w="3379" w:type="dxa"/>
            <w:vAlign w:val="center"/>
          </w:tcPr>
          <w:p w:rsidR="00625353" w:rsidRPr="00A054E7" w:rsidRDefault="00625353" w:rsidP="001A0F01">
            <w:pPr>
              <w:jc w:val="center"/>
              <w:rPr>
                <w:color w:val="000000"/>
                <w:kern w:val="0"/>
              </w:rPr>
            </w:pPr>
            <w:r w:rsidRPr="00A054E7">
              <w:rPr>
                <w:color w:val="000000"/>
                <w:kern w:val="0"/>
              </w:rPr>
              <w:t>意</w:t>
            </w:r>
            <w:r w:rsidRPr="00A054E7">
              <w:rPr>
                <w:color w:val="000000"/>
                <w:kern w:val="0"/>
              </w:rPr>
              <w:t xml:space="preserve">  </w:t>
            </w:r>
            <w:r w:rsidRPr="00A054E7">
              <w:rPr>
                <w:color w:val="000000"/>
                <w:kern w:val="0"/>
              </w:rPr>
              <w:t>見</w:t>
            </w:r>
            <w:r w:rsidRPr="00A054E7">
              <w:rPr>
                <w:color w:val="000000"/>
                <w:kern w:val="0"/>
              </w:rPr>
              <w:t xml:space="preserve">  </w:t>
            </w:r>
            <w:r w:rsidRPr="00A054E7">
              <w:rPr>
                <w:color w:val="000000"/>
                <w:kern w:val="0"/>
              </w:rPr>
              <w:t>陳</w:t>
            </w:r>
            <w:r w:rsidRPr="00A054E7">
              <w:rPr>
                <w:color w:val="000000"/>
                <w:kern w:val="0"/>
              </w:rPr>
              <w:t xml:space="preserve">  </w:t>
            </w:r>
            <w:r w:rsidRPr="00A054E7">
              <w:rPr>
                <w:color w:val="000000"/>
                <w:kern w:val="0"/>
              </w:rPr>
              <w:t>述</w:t>
            </w:r>
          </w:p>
        </w:tc>
        <w:tc>
          <w:tcPr>
            <w:tcW w:w="10996" w:type="dxa"/>
            <w:vAlign w:val="center"/>
          </w:tcPr>
          <w:p w:rsidR="00625353" w:rsidRPr="00A054E7" w:rsidRDefault="00625353" w:rsidP="001A0F01">
            <w:pPr>
              <w:jc w:val="center"/>
            </w:pPr>
            <w:r w:rsidRPr="00A054E7">
              <w:rPr>
                <w:kern w:val="0"/>
              </w:rPr>
              <w:t>各</w:t>
            </w:r>
            <w:r w:rsidRPr="00A054E7">
              <w:rPr>
                <w:kern w:val="0"/>
              </w:rPr>
              <w:t xml:space="preserve"> </w:t>
            </w:r>
            <w:r w:rsidRPr="00A054E7">
              <w:rPr>
                <w:kern w:val="0"/>
              </w:rPr>
              <w:t>處</w:t>
            </w:r>
            <w:r w:rsidRPr="00A054E7">
              <w:rPr>
                <w:kern w:val="0"/>
              </w:rPr>
              <w:t xml:space="preserve"> </w:t>
            </w:r>
            <w:r w:rsidRPr="00A054E7">
              <w:rPr>
                <w:kern w:val="0"/>
              </w:rPr>
              <w:t>室</w:t>
            </w:r>
            <w:r w:rsidRPr="00A054E7">
              <w:rPr>
                <w:kern w:val="0"/>
              </w:rPr>
              <w:t xml:space="preserve"> </w:t>
            </w:r>
            <w:r w:rsidRPr="00A054E7">
              <w:rPr>
                <w:kern w:val="0"/>
              </w:rPr>
              <w:t>意</w:t>
            </w:r>
            <w:r w:rsidRPr="00A054E7">
              <w:rPr>
                <w:kern w:val="0"/>
              </w:rPr>
              <w:t xml:space="preserve"> </w:t>
            </w:r>
            <w:r w:rsidRPr="00A054E7">
              <w:rPr>
                <w:kern w:val="0"/>
              </w:rPr>
              <w:t>見</w:t>
            </w:r>
            <w:r w:rsidRPr="00A054E7">
              <w:rPr>
                <w:kern w:val="0"/>
              </w:rPr>
              <w:t xml:space="preserve"> </w:t>
            </w:r>
            <w:r w:rsidRPr="00A054E7">
              <w:rPr>
                <w:kern w:val="0"/>
              </w:rPr>
              <w:t>回</w:t>
            </w:r>
            <w:r w:rsidRPr="00A054E7">
              <w:rPr>
                <w:kern w:val="0"/>
              </w:rPr>
              <w:t xml:space="preserve"> </w:t>
            </w:r>
            <w:r w:rsidRPr="00A054E7">
              <w:rPr>
                <w:kern w:val="0"/>
              </w:rPr>
              <w:t>覆</w:t>
            </w:r>
          </w:p>
        </w:tc>
      </w:tr>
      <w:tr w:rsidR="00625353" w:rsidRPr="00A054E7" w:rsidTr="00DA2A13">
        <w:trPr>
          <w:trHeight w:val="533"/>
        </w:trPr>
        <w:tc>
          <w:tcPr>
            <w:tcW w:w="585" w:type="dxa"/>
            <w:vAlign w:val="center"/>
          </w:tcPr>
          <w:p w:rsidR="00625353" w:rsidRPr="00A054E7" w:rsidRDefault="00625353" w:rsidP="001A0F01">
            <w:r>
              <w:rPr>
                <w:rFonts w:hint="eastAsia"/>
              </w:rPr>
              <w:t>1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625353" w:rsidRPr="00A054E7" w:rsidRDefault="005012AE" w:rsidP="001A0F01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504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1D7163" w:rsidRPr="001D7163" w:rsidRDefault="005012AE" w:rsidP="001D7163">
            <w:pPr>
              <w:pStyle w:val="a3"/>
              <w:widowControl/>
              <w:numPr>
                <w:ilvl w:val="0"/>
                <w:numId w:val="22"/>
              </w:numPr>
              <w:ind w:leftChars="0"/>
              <w:rPr>
                <w:color w:val="000000"/>
                <w:kern w:val="0"/>
              </w:rPr>
            </w:pPr>
            <w:r w:rsidRPr="001D7163">
              <w:rPr>
                <w:rFonts w:hint="eastAsia"/>
                <w:color w:val="000000"/>
                <w:kern w:val="0"/>
              </w:rPr>
              <w:t>學生性向測驗與興趣量表準確度如何</w:t>
            </w:r>
            <w:r w:rsidRPr="001D7163">
              <w:rPr>
                <w:rFonts w:hint="eastAsia"/>
                <w:color w:val="000000"/>
                <w:kern w:val="0"/>
              </w:rPr>
              <w:t>?</w:t>
            </w:r>
            <w:r w:rsidRPr="001D7163">
              <w:rPr>
                <w:rFonts w:hint="eastAsia"/>
                <w:color w:val="000000"/>
                <w:kern w:val="0"/>
              </w:rPr>
              <w:t>能否據此決定學生未來報考科系</w:t>
            </w:r>
            <w:r w:rsidRPr="001D7163">
              <w:rPr>
                <w:rFonts w:hint="eastAsia"/>
                <w:color w:val="000000"/>
                <w:kern w:val="0"/>
              </w:rPr>
              <w:t>?</w:t>
            </w:r>
          </w:p>
          <w:p w:rsidR="000F5C98" w:rsidRPr="001D7163" w:rsidRDefault="005012AE" w:rsidP="001D7163">
            <w:pPr>
              <w:pStyle w:val="a3"/>
              <w:widowControl/>
              <w:numPr>
                <w:ilvl w:val="0"/>
                <w:numId w:val="22"/>
              </w:numPr>
              <w:ind w:leftChars="0"/>
              <w:rPr>
                <w:color w:val="000000"/>
                <w:kern w:val="0"/>
              </w:rPr>
            </w:pPr>
            <w:r w:rsidRPr="001D7163">
              <w:rPr>
                <w:rFonts w:hint="eastAsia"/>
                <w:color w:val="000000"/>
                <w:kern w:val="0"/>
              </w:rPr>
              <w:t>能否於學生高二時，提供每班一本去年的大學科系簡章，讓學生了解科系種類</w:t>
            </w:r>
            <w:r w:rsidR="00D540E8" w:rsidRPr="001D7163">
              <w:rPr>
                <w:rFonts w:hint="eastAsia"/>
                <w:color w:val="000000"/>
                <w:kern w:val="0"/>
              </w:rPr>
              <w:t>及</w:t>
            </w:r>
            <w:r w:rsidRPr="001D7163">
              <w:rPr>
                <w:rFonts w:hint="eastAsia"/>
                <w:color w:val="000000"/>
                <w:kern w:val="0"/>
              </w:rPr>
              <w:t>加重計分或篩選倍率科目以提早明確學習目標</w:t>
            </w:r>
            <w:r w:rsidR="003C5DC0" w:rsidRPr="001D7163">
              <w:rPr>
                <w:rFonts w:hint="eastAsia"/>
                <w:color w:val="000000"/>
                <w:kern w:val="0"/>
              </w:rPr>
              <w:t>?</w:t>
            </w:r>
          </w:p>
        </w:tc>
        <w:tc>
          <w:tcPr>
            <w:tcW w:w="10996" w:type="dxa"/>
          </w:tcPr>
          <w:p w:rsidR="00521872" w:rsidRDefault="001D7163" w:rsidP="00521872">
            <w:r>
              <w:rPr>
                <w:rFonts w:hint="eastAsia"/>
              </w:rPr>
              <w:t>1.</w:t>
            </w:r>
            <w:r w:rsidR="00521872">
              <w:rPr>
                <w:rFonts w:hint="eastAsia"/>
              </w:rPr>
              <w:t>性向測驗與興趣測驗皆經標準化設計，為具信度與效度檢驗之測驗。測驗結果可協助學生了解其</w:t>
            </w:r>
          </w:p>
          <w:p w:rsidR="00521872" w:rsidRDefault="00521872" w:rsidP="00521872">
            <w:r>
              <w:t xml:space="preserve">   </w:t>
            </w:r>
            <w:r>
              <w:rPr>
                <w:rFonts w:hint="eastAsia"/>
              </w:rPr>
              <w:t>優勢和興趣，以作為升學或就業之參考資料。然而測驗無法涵蓋所有層面，解讀測驗結果時，必須</w:t>
            </w:r>
          </w:p>
          <w:p w:rsidR="00521872" w:rsidRDefault="00521872" w:rsidP="00521872">
            <w:r>
              <w:t xml:space="preserve">   </w:t>
            </w:r>
            <w:r>
              <w:rPr>
                <w:rFonts w:hint="eastAsia"/>
              </w:rPr>
              <w:t>加上學生長期、多次的平常課業和生活表現，才能讓學生更全面的認識自我。如果高中學生性向</w:t>
            </w:r>
          </w:p>
          <w:p w:rsidR="00521872" w:rsidRDefault="00521872" w:rsidP="00521872">
            <w:r>
              <w:t xml:space="preserve">   </w:t>
            </w:r>
            <w:r>
              <w:rPr>
                <w:rFonts w:hint="eastAsia"/>
              </w:rPr>
              <w:t>仍不明朗，大學也有不分系可供選擇。建議讓孩子多元的接觸，比如參加大學寒暑假營隊、諮詢</w:t>
            </w:r>
          </w:p>
          <w:p w:rsidR="001D7163" w:rsidRDefault="00521872" w:rsidP="00521872">
            <w:r>
              <w:t xml:space="preserve">   </w:t>
            </w:r>
            <w:r>
              <w:rPr>
                <w:rFonts w:hint="eastAsia"/>
              </w:rPr>
              <w:t>導師、輔導老師、學長姐的意見，或孩子瀏覽網路的內容，也是可以觀察探索的面向。</w:t>
            </w:r>
          </w:p>
          <w:p w:rsidR="00521872" w:rsidRPr="001D7163" w:rsidRDefault="001D7163" w:rsidP="00521872">
            <w:r>
              <w:rPr>
                <w:rFonts w:hint="eastAsia"/>
              </w:rPr>
              <w:t>2.</w:t>
            </w:r>
            <w:bookmarkStart w:id="0" w:name="_GoBack"/>
            <w:bookmarkEnd w:id="0"/>
            <w:r w:rsidR="00521872">
              <w:t>輔導室對面的升學資料室收藏近年招生簡章</w:t>
            </w:r>
            <w:r w:rsidR="00521872">
              <w:rPr>
                <w:rFonts w:asciiTheme="minorEastAsia" w:hAnsiTheme="minorEastAsia" w:hint="eastAsia"/>
              </w:rPr>
              <w:t>，</w:t>
            </w:r>
            <w:r w:rsidR="00521872">
              <w:rPr>
                <w:rFonts w:hint="eastAsia"/>
              </w:rPr>
              <w:t>若學生有需要</w:t>
            </w:r>
            <w:r w:rsidR="00521872">
              <w:rPr>
                <w:rFonts w:asciiTheme="minorEastAsia" w:hAnsiTheme="minorEastAsia" w:hint="eastAsia"/>
              </w:rPr>
              <w:t>，</w:t>
            </w:r>
            <w:r w:rsidR="00521872">
              <w:rPr>
                <w:rFonts w:hint="eastAsia"/>
              </w:rPr>
              <w:t>可至輔導室登記借閱</w:t>
            </w:r>
            <w:r w:rsidR="00521872">
              <w:rPr>
                <w:rFonts w:asciiTheme="minorEastAsia" w:hAnsiTheme="minorEastAsia" w:hint="eastAsia"/>
              </w:rPr>
              <w:t>，或至大學甄選</w:t>
            </w:r>
          </w:p>
          <w:p w:rsidR="00521872" w:rsidRDefault="00521872" w:rsidP="0052187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入學委員會網站/申請入學(或繁星推薦)/簡章公告/校系分則查詢，即可查詢大學各校系招生辦法。</w:t>
            </w:r>
          </w:p>
          <w:p w:rsidR="00625353" w:rsidRPr="00A054E7" w:rsidRDefault="00521872" w:rsidP="00521872">
            <w:r>
              <w:rPr>
                <w:rFonts w:asciiTheme="minorEastAsia" w:hAnsiTheme="minorEastAsia"/>
              </w:rPr>
              <w:t xml:space="preserve">  網址為</w:t>
            </w:r>
            <w:r w:rsidRPr="00574E38">
              <w:t>https://www.cac.edu.tw/</w:t>
            </w:r>
          </w:p>
        </w:tc>
      </w:tr>
    </w:tbl>
    <w:p w:rsidR="00D536E1" w:rsidRPr="005E028A" w:rsidRDefault="00D536E1" w:rsidP="00537252">
      <w:pPr>
        <w:rPr>
          <w:rFonts w:ascii="華康細圓體" w:eastAsia="華康細圓體" w:hint="eastAsia"/>
          <w:sz w:val="32"/>
          <w:szCs w:val="32"/>
        </w:rPr>
      </w:pPr>
    </w:p>
    <w:sectPr w:rsidR="00D536E1" w:rsidRPr="005E028A" w:rsidSect="00CF48B6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70E" w:rsidRDefault="0006670E" w:rsidP="003377A1">
      <w:r>
        <w:separator/>
      </w:r>
    </w:p>
  </w:endnote>
  <w:endnote w:type="continuationSeparator" w:id="0">
    <w:p w:rsidR="0006670E" w:rsidRDefault="0006670E" w:rsidP="0033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細圓體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70E" w:rsidRDefault="0006670E" w:rsidP="003377A1">
      <w:r>
        <w:separator/>
      </w:r>
    </w:p>
  </w:footnote>
  <w:footnote w:type="continuationSeparator" w:id="0">
    <w:p w:rsidR="0006670E" w:rsidRDefault="0006670E" w:rsidP="0033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DBE"/>
    <w:multiLevelType w:val="hybridMultilevel"/>
    <w:tmpl w:val="D5D4D8D4"/>
    <w:lvl w:ilvl="0" w:tplc="8DCE7A0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E7B65"/>
    <w:multiLevelType w:val="hybridMultilevel"/>
    <w:tmpl w:val="6216838C"/>
    <w:lvl w:ilvl="0" w:tplc="3BBAC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D1B1D"/>
    <w:multiLevelType w:val="hybridMultilevel"/>
    <w:tmpl w:val="2EB898D0"/>
    <w:lvl w:ilvl="0" w:tplc="C8505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674A35"/>
    <w:multiLevelType w:val="hybridMultilevel"/>
    <w:tmpl w:val="F22643F2"/>
    <w:lvl w:ilvl="0" w:tplc="98F6814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0C2DB0"/>
    <w:multiLevelType w:val="hybridMultilevel"/>
    <w:tmpl w:val="7E3C417E"/>
    <w:lvl w:ilvl="0" w:tplc="A0566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0F6213"/>
    <w:multiLevelType w:val="hybridMultilevel"/>
    <w:tmpl w:val="CA9656CC"/>
    <w:lvl w:ilvl="0" w:tplc="4BF435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BB4080"/>
    <w:multiLevelType w:val="hybridMultilevel"/>
    <w:tmpl w:val="54FE2120"/>
    <w:lvl w:ilvl="0" w:tplc="98F6814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791245"/>
    <w:multiLevelType w:val="hybridMultilevel"/>
    <w:tmpl w:val="44A044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F47203"/>
    <w:multiLevelType w:val="hybridMultilevel"/>
    <w:tmpl w:val="3D62589A"/>
    <w:lvl w:ilvl="0" w:tplc="EE224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DA1135"/>
    <w:multiLevelType w:val="hybridMultilevel"/>
    <w:tmpl w:val="A7E80094"/>
    <w:lvl w:ilvl="0" w:tplc="888CD3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E55B40"/>
    <w:multiLevelType w:val="hybridMultilevel"/>
    <w:tmpl w:val="8160A9C4"/>
    <w:lvl w:ilvl="0" w:tplc="33BC3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155A51"/>
    <w:multiLevelType w:val="hybridMultilevel"/>
    <w:tmpl w:val="369C48B4"/>
    <w:lvl w:ilvl="0" w:tplc="701A3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C71DC8"/>
    <w:multiLevelType w:val="hybridMultilevel"/>
    <w:tmpl w:val="57D603C4"/>
    <w:lvl w:ilvl="0" w:tplc="81261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EE4F18"/>
    <w:multiLevelType w:val="hybridMultilevel"/>
    <w:tmpl w:val="749298DA"/>
    <w:lvl w:ilvl="0" w:tplc="B52CE5E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1F7189"/>
    <w:multiLevelType w:val="hybridMultilevel"/>
    <w:tmpl w:val="08701004"/>
    <w:lvl w:ilvl="0" w:tplc="32E27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E55475"/>
    <w:multiLevelType w:val="hybridMultilevel"/>
    <w:tmpl w:val="2D08D10A"/>
    <w:lvl w:ilvl="0" w:tplc="835CE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8D7ECA"/>
    <w:multiLevelType w:val="hybridMultilevel"/>
    <w:tmpl w:val="87568860"/>
    <w:lvl w:ilvl="0" w:tplc="6C0EC4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1F36B5"/>
    <w:multiLevelType w:val="hybridMultilevel"/>
    <w:tmpl w:val="97424C2E"/>
    <w:lvl w:ilvl="0" w:tplc="9E0CB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140EBF"/>
    <w:multiLevelType w:val="hybridMultilevel"/>
    <w:tmpl w:val="2B4452A6"/>
    <w:lvl w:ilvl="0" w:tplc="89F4E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39790C"/>
    <w:multiLevelType w:val="hybridMultilevel"/>
    <w:tmpl w:val="A78071AC"/>
    <w:lvl w:ilvl="0" w:tplc="FF760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FB63D9"/>
    <w:multiLevelType w:val="hybridMultilevel"/>
    <w:tmpl w:val="3B082828"/>
    <w:lvl w:ilvl="0" w:tplc="B0206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DD0370"/>
    <w:multiLevelType w:val="hybridMultilevel"/>
    <w:tmpl w:val="FEB62D4E"/>
    <w:lvl w:ilvl="0" w:tplc="3C2A9C3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21"/>
  </w:num>
  <w:num w:numId="5">
    <w:abstractNumId w:val="6"/>
  </w:num>
  <w:num w:numId="6">
    <w:abstractNumId w:val="5"/>
  </w:num>
  <w:num w:numId="7">
    <w:abstractNumId w:val="3"/>
  </w:num>
  <w:num w:numId="8">
    <w:abstractNumId w:val="11"/>
  </w:num>
  <w:num w:numId="9">
    <w:abstractNumId w:val="7"/>
  </w:num>
  <w:num w:numId="10">
    <w:abstractNumId w:val="8"/>
  </w:num>
  <w:num w:numId="11">
    <w:abstractNumId w:val="2"/>
  </w:num>
  <w:num w:numId="12">
    <w:abstractNumId w:val="18"/>
  </w:num>
  <w:num w:numId="13">
    <w:abstractNumId w:val="19"/>
  </w:num>
  <w:num w:numId="14">
    <w:abstractNumId w:val="13"/>
  </w:num>
  <w:num w:numId="15">
    <w:abstractNumId w:val="17"/>
  </w:num>
  <w:num w:numId="16">
    <w:abstractNumId w:val="0"/>
  </w:num>
  <w:num w:numId="17">
    <w:abstractNumId w:val="9"/>
  </w:num>
  <w:num w:numId="18">
    <w:abstractNumId w:val="16"/>
  </w:num>
  <w:num w:numId="19">
    <w:abstractNumId w:val="10"/>
  </w:num>
  <w:num w:numId="20">
    <w:abstractNumId w:val="1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4C"/>
    <w:rsid w:val="0001562C"/>
    <w:rsid w:val="000311C7"/>
    <w:rsid w:val="0003387B"/>
    <w:rsid w:val="00034C43"/>
    <w:rsid w:val="00037F1A"/>
    <w:rsid w:val="00046010"/>
    <w:rsid w:val="0006670E"/>
    <w:rsid w:val="000676DE"/>
    <w:rsid w:val="000A57C6"/>
    <w:rsid w:val="000F5C98"/>
    <w:rsid w:val="00174662"/>
    <w:rsid w:val="00184BD3"/>
    <w:rsid w:val="001A3E91"/>
    <w:rsid w:val="001C5606"/>
    <w:rsid w:val="001D68CC"/>
    <w:rsid w:val="001D7163"/>
    <w:rsid w:val="001E6597"/>
    <w:rsid w:val="001F72D9"/>
    <w:rsid w:val="00201EFB"/>
    <w:rsid w:val="00211935"/>
    <w:rsid w:val="0026713B"/>
    <w:rsid w:val="002701B8"/>
    <w:rsid w:val="0027352F"/>
    <w:rsid w:val="0028540C"/>
    <w:rsid w:val="00297266"/>
    <w:rsid w:val="002B3837"/>
    <w:rsid w:val="0032154C"/>
    <w:rsid w:val="00325164"/>
    <w:rsid w:val="003377A1"/>
    <w:rsid w:val="00343D3B"/>
    <w:rsid w:val="00372034"/>
    <w:rsid w:val="003745B9"/>
    <w:rsid w:val="00385A20"/>
    <w:rsid w:val="00385E2D"/>
    <w:rsid w:val="00392E69"/>
    <w:rsid w:val="003C3BF8"/>
    <w:rsid w:val="003C5DC0"/>
    <w:rsid w:val="003D61C3"/>
    <w:rsid w:val="003F7541"/>
    <w:rsid w:val="00401760"/>
    <w:rsid w:val="00434A29"/>
    <w:rsid w:val="00447D81"/>
    <w:rsid w:val="004556F9"/>
    <w:rsid w:val="004820FB"/>
    <w:rsid w:val="004A0390"/>
    <w:rsid w:val="004B3B9A"/>
    <w:rsid w:val="004B51D8"/>
    <w:rsid w:val="004B63C9"/>
    <w:rsid w:val="004F41F9"/>
    <w:rsid w:val="005012AE"/>
    <w:rsid w:val="00502D07"/>
    <w:rsid w:val="00514CE5"/>
    <w:rsid w:val="005165DF"/>
    <w:rsid w:val="00521872"/>
    <w:rsid w:val="00525D5D"/>
    <w:rsid w:val="00534167"/>
    <w:rsid w:val="00537252"/>
    <w:rsid w:val="00562A76"/>
    <w:rsid w:val="00563971"/>
    <w:rsid w:val="005E028A"/>
    <w:rsid w:val="005F5AB3"/>
    <w:rsid w:val="005F5C3E"/>
    <w:rsid w:val="00611573"/>
    <w:rsid w:val="0061743C"/>
    <w:rsid w:val="006219BE"/>
    <w:rsid w:val="00625353"/>
    <w:rsid w:val="00690F60"/>
    <w:rsid w:val="006C13D6"/>
    <w:rsid w:val="006C680D"/>
    <w:rsid w:val="006E310A"/>
    <w:rsid w:val="006F06FB"/>
    <w:rsid w:val="00736054"/>
    <w:rsid w:val="00736F01"/>
    <w:rsid w:val="00740D72"/>
    <w:rsid w:val="0078486E"/>
    <w:rsid w:val="00795671"/>
    <w:rsid w:val="007A14D0"/>
    <w:rsid w:val="007A40A2"/>
    <w:rsid w:val="007B40F7"/>
    <w:rsid w:val="007B6560"/>
    <w:rsid w:val="007D3A53"/>
    <w:rsid w:val="007D4776"/>
    <w:rsid w:val="007E1D7C"/>
    <w:rsid w:val="007F0750"/>
    <w:rsid w:val="00806E88"/>
    <w:rsid w:val="00814D39"/>
    <w:rsid w:val="00844C51"/>
    <w:rsid w:val="008518B6"/>
    <w:rsid w:val="00867D06"/>
    <w:rsid w:val="008A1F84"/>
    <w:rsid w:val="008B3B5D"/>
    <w:rsid w:val="008D685A"/>
    <w:rsid w:val="0090113C"/>
    <w:rsid w:val="0094330D"/>
    <w:rsid w:val="00984CC7"/>
    <w:rsid w:val="0098624E"/>
    <w:rsid w:val="0099031A"/>
    <w:rsid w:val="009A5D49"/>
    <w:rsid w:val="009A715A"/>
    <w:rsid w:val="009B0A42"/>
    <w:rsid w:val="009B71BD"/>
    <w:rsid w:val="009C7DCC"/>
    <w:rsid w:val="00A3550C"/>
    <w:rsid w:val="00A67CBC"/>
    <w:rsid w:val="00AE34B5"/>
    <w:rsid w:val="00BC2303"/>
    <w:rsid w:val="00BC3FFF"/>
    <w:rsid w:val="00C06F14"/>
    <w:rsid w:val="00C572A4"/>
    <w:rsid w:val="00C6573F"/>
    <w:rsid w:val="00C708AB"/>
    <w:rsid w:val="00C93633"/>
    <w:rsid w:val="00CE54CB"/>
    <w:rsid w:val="00CE7BED"/>
    <w:rsid w:val="00CF48B6"/>
    <w:rsid w:val="00D009DF"/>
    <w:rsid w:val="00D078CA"/>
    <w:rsid w:val="00D258C6"/>
    <w:rsid w:val="00D267D4"/>
    <w:rsid w:val="00D32B0E"/>
    <w:rsid w:val="00D51157"/>
    <w:rsid w:val="00D51C28"/>
    <w:rsid w:val="00D53223"/>
    <w:rsid w:val="00D536E1"/>
    <w:rsid w:val="00D540E8"/>
    <w:rsid w:val="00D83EB1"/>
    <w:rsid w:val="00D859A8"/>
    <w:rsid w:val="00DA0442"/>
    <w:rsid w:val="00DA2A13"/>
    <w:rsid w:val="00DC6727"/>
    <w:rsid w:val="00DF5881"/>
    <w:rsid w:val="00E10925"/>
    <w:rsid w:val="00E23476"/>
    <w:rsid w:val="00E43849"/>
    <w:rsid w:val="00E94682"/>
    <w:rsid w:val="00EA7A52"/>
    <w:rsid w:val="00EF4577"/>
    <w:rsid w:val="00F0312A"/>
    <w:rsid w:val="00F061C6"/>
    <w:rsid w:val="00F11E92"/>
    <w:rsid w:val="00F3637D"/>
    <w:rsid w:val="00F36EC6"/>
    <w:rsid w:val="00F41751"/>
    <w:rsid w:val="00F65376"/>
    <w:rsid w:val="00F737F6"/>
    <w:rsid w:val="00F82343"/>
    <w:rsid w:val="00F834BC"/>
    <w:rsid w:val="00F86BB1"/>
    <w:rsid w:val="00FA63A2"/>
    <w:rsid w:val="00FB1309"/>
    <w:rsid w:val="00FE0B0E"/>
    <w:rsid w:val="00FE3580"/>
    <w:rsid w:val="00F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2082B"/>
  <w15:chartTrackingRefBased/>
  <w15:docId w15:val="{DBF1E532-F77A-4A6D-A715-BB9F2990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15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ya-q-full-text">
    <w:name w:val="ya-q-full-text"/>
    <w:rsid w:val="006C680D"/>
  </w:style>
  <w:style w:type="paragraph" w:styleId="a3">
    <w:name w:val="List Paragraph"/>
    <w:basedOn w:val="a"/>
    <w:uiPriority w:val="34"/>
    <w:qFormat/>
    <w:rsid w:val="007A14D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93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936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7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377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37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377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271EE-E9CC-4876-880C-7FBA3BD8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輔導室</cp:lastModifiedBy>
  <cp:revision>6</cp:revision>
  <cp:lastPrinted>2017-11-02T08:23:00Z</cp:lastPrinted>
  <dcterms:created xsi:type="dcterms:W3CDTF">2021-10-25T02:36:00Z</dcterms:created>
  <dcterms:modified xsi:type="dcterms:W3CDTF">2021-10-25T02:44:00Z</dcterms:modified>
</cp:coreProperties>
</file>